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df2bed50dd34f86" /><Relationship Type="http://schemas.openxmlformats.org/package/2006/relationships/metadata/core-properties" Target="/package/services/metadata/core-properties/7f92947acca6491b8ec62433cd45062a.psmdcp" Id="Ra8be5d5da3b84616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508000</wp:posOffset>
            </wp:positionV>
            <wp:extent cx="6350000" cy="508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48"/>
                          </w:rPr>
                          <w:t xml:space="preserve">Invoice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1117600</wp:posOffset>
            </wp:positionV>
            <wp:extent cx="6350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i/>
                            <w:color w:val="4B5563"/>
                            <w:sz w:val="28"/>
                          </w:rPr>
                          <w:t xml:space="preserve">Q2 Services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</w:pPr>
    </w:p>
    <w:tbl>
      <w:tblPr>
        <w:tblW w:w="100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960" w:type="dxa"/>
      </w:tblPr>
      <w:tblGrid>
        <w:gridCol w:w="3600"/>
        <w:gridCol w:w="3200"/>
        <w:gridCol w:w="3200"/>
      </w:tblGrid>
      <w:tr>
        <w:trPr>
          <w:tblHeader/>
        </w:trPr>
        <w:tc>
          <w:tcPr>
            <w:tcW w:w="36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Design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$1,400.00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Development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38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$5,700.00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QA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$1,210.00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Total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63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$8,310.00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