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ccc589685f4e1b" /><Relationship Type="http://schemas.openxmlformats.org/package/2006/relationships/metadata/core-properties" Target="/package/services/metadata/core-properties/f451e813aa634292b607c622df0bcafe.psmdcp" Id="Rc4f7e20a00f94ea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457200</wp:posOffset>
            </wp:positionH>
            <wp:positionV relativeFrom="page">
              <wp:posOffset>406400</wp:posOffset>
            </wp:positionV>
            <wp:extent cx="6731000" cy="304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731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2"/>
                          </w:rPr>
                          <w:t xml:space="preserve">Transaction Ledger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320"/>
      </w:pPr>
    </w:p>
    <w:tbl>
      <w:tblPr>
        <w:tblW w:w="10600" w:type="dxa"/>
        <w:tblLayout w:type="fixed"/>
        <w:tblBorders>
          <w:top w:val="single" w:color="374151" w:sz="1"/>
          <w:left w:val="single" w:color="374151" w:sz="1"/>
          <w:bottom w:val="single" w:color="374151" w:sz="1"/>
          <w:right w:val="single" w:color="374151" w:sz="1"/>
          <w:insideH w:val="single" w:color="374151" w:sz="1"/>
          <w:insideV w:val="single" w:color="374151" w:sz="1"/>
        </w:tblBorders>
        <w:tblInd w:w="720" w:type="dxa"/>
      </w:tblPr>
      <w:tblGrid>
        <w:gridCol w:w="1800"/>
        <w:gridCol w:w="34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34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Debit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Credit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Balance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2026-05-01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Opening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10000.00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2026-05-02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Office Supplies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9760.00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2026-05-05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Consulting Revenue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1800.00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11560.00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2026-05-08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Cloud Services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320.00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11240.00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2026-05-12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Payroll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4200.00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7040.00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2026-05-15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Maintenance Revenue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2026-05-19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Closing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cee5f3d27964af7" /></Relationships>
</file>