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6045fdc51e4f82" /><Relationship Type="http://schemas.openxmlformats.org/package/2006/relationships/metadata/core-properties" Target="/package/services/metadata/core-properties/799cdf24dd6b4e91b2750ead94153979.psmdcp" Id="R5f59e36c121c40ba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1117600</wp:posOffset>
            </wp:positionV>
            <wp:extent cx="4826000" cy="2794000"/>
            <wp:effectExtent l="0" t="0" r="0" b="0"/>
            <wp:wrapNone/>
            <wp:docPr id="1" name="hero-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bg"/>
                    <pic:cNvPicPr/>
                  </pic:nvPicPr>
                  <pic:blipFill>
                    <a:blip xmlns:r="http://schemas.openxmlformats.org/officeDocument/2006/relationships" r:embed="R88959c97cdbe41cc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1397000</wp:posOffset>
            </wp:positionV>
            <wp:extent cx="4318000" cy="609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318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Revenue Brief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2108200</wp:posOffset>
            </wp:positionV>
            <wp:extent cx="4064000" cy="1270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064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Highlights: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Growth remains stable across all regions.</w:t>
                        </w:r>
                      </w:p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color w:val="1D4ED8"/>
                            <w:sz w:val="24"/>
                          </w:rPr>
                          <w:t xml:space="preserve">North America +8.4%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color w:val="047857"/>
                            <w:sz w:val="24"/>
                          </w:rPr>
                          <w:t xml:space="preserve">EMEA +6.1%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hd w:val="clear" w:color="auto" w:fill="FDE68A"/>
        <w:ind w:left="6600"/>
      </w:pPr>
      <w:r>
        <w:rPr>
          <w:b/>
        </w:rPr>
        <w:t>Action</w:t>
      </w:r>
    </w:p>
    <w:p>
      <w:pPr>
        <w:shd w:val="clear" w:color="auto" w:fill="FDE68A"/>
        <w:ind w:left="6600"/>
      </w:pPr>
      <w:r>
        <w:t>Prioritize retention campaigns in regions with slower momentum.</w:t>
      </w:r>
    </w:p>
    <w:tbl>
      <w:tblPr>
        <w:tblW w:w="916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1440" w:type="dxa"/>
      </w:tblPr>
      <w:tblGrid>
        <w:gridCol w:w="3800"/>
        <w:gridCol w:w="2800"/>
        <w:gridCol w:w="2560"/>
      </w:tblGrid>
      <w:tr>
        <w:trPr>
          <w:tblHeader/>
        </w:trPr>
        <w:tc>
          <w:tcPr>
            <w:tcW w:w="3800" w:type="dxa"/>
            <w:shd w:val="clear" w:color="auto" w:fill="F1F5F9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80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Q1</w:t>
            </w:r>
          </w:p>
        </w:tc>
        <w:tc>
          <w:tcPr>
            <w:tcW w:w="256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Q2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North America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12.4M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13.4M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EMEA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9.2M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9.8M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APAC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8.5M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8.9M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5a6cb5c292e41ac" /><Relationship Type="http://schemas.openxmlformats.org/officeDocument/2006/relationships/image" Target="/media/image.png" Id="R88959c97cdbe41cc" /></Relationships>
</file>