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6d64d2d8da4ad8" /><Relationship Type="http://schemas.openxmlformats.org/package/2006/relationships/metadata/core-properties" Target="/package/services/metadata/core-properties/a595d082dcea46a5afbcb0116bcfcc3e.psmdcp" Id="R85ba42d7dded4f5f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1117600</wp:posOffset>
            </wp:positionV>
            <wp:extent cx="4826000" cy="2794000"/>
            <wp:effectExtent l="0" t="0" r="0" b="0"/>
            <wp:wrapNone/>
            <wp:docPr id="1" name="hero-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-bg"/>
                    <pic:cNvPicPr/>
                  </pic:nvPicPr>
                  <pic:blipFill>
                    <a:blip xmlns:r="http://schemas.openxmlformats.org/officeDocument/2006/relationships" r:embed="R98125aad9c18414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1397000</wp:posOffset>
            </wp:positionV>
            <wp:extent cx="4318000" cy="6096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4318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48"/>
                          </w:rPr>
                          <w:t xml:space="preserve">Quarterly Revenue Brief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simplePos="0" relativeHeight="2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2108200</wp:posOffset>
            </wp:positionV>
            <wp:extent cx="4064000" cy="1270000"/>
            <wp:effectExtent l="0" t="0" r="0" b="0"/>
            <wp:wrapNone/>
            <wp:docPr id="3" name="TextBox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4064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24" w:lineRule="auto"/>
                          <w:jc w:val="left"/>
                        </w:pPr>
                        <w:r>
                          <w:rPr>
                            <w:b/>
                            <w:color w:val="1F2937"/>
                            <w:sz w:val="24"/>
                          </w:rPr>
                          <w:t xml:space="preserve">Highlights:</w:t>
                        </w:r>
                        <w:r>
                          <w:rPr>
                            <w:color w:val="1F2937"/>
                            <w:sz w:val="24"/>
                          </w:rPr>
                          <w:t xml:space="preserve"> Growth remains stable across all regions.</w:t>
                        </w:r>
                      </w:p>
                      <w:p>
                        <w:pPr>
                          <w:spacing w:line="324" w:lineRule="auto"/>
                          <w:jc w:val="left"/>
                        </w:pPr>
                        <w:r>
                          <w:rPr>
                            <w:color w:val="1D4ED8"/>
                            <w:sz w:val="24"/>
                          </w:rPr>
                          <w:t xml:space="preserve">North America +8.4%</w:t>
                        </w:r>
                        <w:r>
                          <w:rPr>
                            <w:color w:val="1F2937"/>
                            <w:sz w:val="24"/>
                          </w:rPr>
                          <w:t xml:space="preserve"> and </w:t>
                        </w:r>
                        <w:r>
                          <w:rPr>
                            <w:color w:val="047857"/>
                            <w:sz w:val="24"/>
                          </w:rPr>
                          <w:t xml:space="preserve">EMEA +6.1%</w:t>
                        </w:r>
                        <w:r>
                          <w:rPr>
                            <w:color w:val="1F2937"/>
                            <w:sz w:val="24"/>
                          </w:rPr>
                          <w:t xml:space="preserve">.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hd w:val="clear" w:color="auto" w:fill="FDE68A"/>
        <w:ind w:left="6600"/>
      </w:pPr>
      <w:r>
        <w:rPr>
          <w:b/>
        </w:rPr>
        <w:t>Action</w:t>
      </w:r>
    </w:p>
    <w:p>
      <w:pPr>
        <w:shd w:val="clear" w:color="auto" w:fill="FDE68A"/>
        <w:ind w:left="6600"/>
      </w:pPr>
      <w:r>
        <w:t>Prioritize retention campaigns in regions with slower momentum.</w:t>
      </w:r>
    </w:p>
    <w:tbl>
      <w:tblPr>
        <w:tblW w:w="9160" w:type="dxa"/>
        <w:tblLayout w:type="fixed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334155" w:sz="1"/>
          <w:insideV w:val="single" w:color="334155" w:sz="1"/>
        </w:tblBorders>
        <w:tblInd w:w="1440" w:type="dxa"/>
      </w:tblPr>
      <w:tblGrid>
        <w:gridCol w:w="3800"/>
        <w:gridCol w:w="2800"/>
        <w:gridCol w:w="2560"/>
      </w:tblGrid>
      <w:tr>
        <w:trPr>
          <w:tblHeader/>
        </w:trPr>
        <w:tc>
          <w:tcPr>
            <w:tcW w:w="3800" w:type="dxa"/>
            <w:shd w:val="clear" w:color="auto" w:fill="F1F5F9"/>
            <w:vAlign w:val="top"/>
          </w:tcPr>
          <w:p>
            <w:pPr>
              <w:jc w:val="left"/>
            </w:pPr>
            <w:r>
              <w:rPr>
                <w:b/>
              </w:rPr>
              <w:t xml:space="preserve">Region</w:t>
            </w:r>
          </w:p>
        </w:tc>
        <w:tc>
          <w:tcPr>
            <w:tcW w:w="2800" w:type="dxa"/>
            <w:shd w:val="clear" w:color="auto" w:fill="F1F5F9"/>
            <w:vAlign w:val="top"/>
          </w:tcPr>
          <w:p>
            <w:pPr>
              <w:jc w:val="right"/>
            </w:pPr>
            <w:r>
              <w:rPr>
                <w:b/>
              </w:rPr>
              <w:t xml:space="preserve">Q1</w:t>
            </w:r>
          </w:p>
        </w:tc>
        <w:tc>
          <w:tcPr>
            <w:tcW w:w="2560" w:type="dxa"/>
            <w:shd w:val="clear" w:color="auto" w:fill="F1F5F9"/>
            <w:vAlign w:val="top"/>
          </w:tcPr>
          <w:p>
            <w:pPr>
              <w:jc w:val="right"/>
            </w:pPr>
            <w:r>
              <w:rPr>
                <w:b/>
              </w:rPr>
              <w:t xml:space="preserve">Q2</w:t>
            </w:r>
          </w:p>
        </w:tc>
      </w:tr>
      <w:tr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North America</w:t>
            </w:r>
          </w:p>
        </w:tc>
        <w:tc>
          <w:tcPr>
            <w:tcW w:w="2800" w:type="dxa"/>
            <w:vAlign w:val="top"/>
          </w:tcPr>
          <w:p>
            <w:pPr>
              <w:jc w:val="right"/>
            </w:pPr>
            <w:r>
              <w:t xml:space="preserve">12.4M</w:t>
            </w:r>
          </w:p>
        </w:tc>
        <w:tc>
          <w:tcPr>
            <w:tcW w:w="2560" w:type="dxa"/>
            <w:vAlign w:val="top"/>
          </w:tcPr>
          <w:p>
            <w:pPr>
              <w:jc w:val="right"/>
            </w:pPr>
            <w:r>
              <w:t xml:space="preserve">13.4M</w:t>
            </w:r>
          </w:p>
        </w:tc>
      </w:tr>
      <w:tr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EMEA</w:t>
            </w:r>
          </w:p>
        </w:tc>
        <w:tc>
          <w:tcPr>
            <w:tcW w:w="2800" w:type="dxa"/>
            <w:vAlign w:val="top"/>
          </w:tcPr>
          <w:p>
            <w:pPr>
              <w:jc w:val="right"/>
            </w:pPr>
            <w:r>
              <w:t xml:space="preserve">9.2M</w:t>
            </w:r>
          </w:p>
        </w:tc>
        <w:tc>
          <w:tcPr>
            <w:tcW w:w="2560" w:type="dxa"/>
            <w:vAlign w:val="top"/>
          </w:tcPr>
          <w:p>
            <w:pPr>
              <w:jc w:val="right"/>
            </w:pPr>
            <w:r>
              <w:t xml:space="preserve">9.8M</w:t>
            </w:r>
          </w:p>
        </w:tc>
      </w:tr>
      <w:tr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APAC</w:t>
            </w:r>
          </w:p>
        </w:tc>
        <w:tc>
          <w:tcPr>
            <w:tcW w:w="2800" w:type="dxa"/>
            <w:vAlign w:val="top"/>
          </w:tcPr>
          <w:p>
            <w:pPr>
              <w:jc w:val="right"/>
            </w:pPr>
            <w:r>
              <w:t xml:space="preserve">8.5M</w:t>
            </w:r>
          </w:p>
        </w:tc>
        <w:tc>
          <w:tcPr>
            <w:tcW w:w="2560" w:type="dxa"/>
            <w:vAlign w:val="top"/>
          </w:tcPr>
          <w:p>
            <w:pPr>
              <w:jc w:val="right"/>
            </w:pPr>
            <w:r>
              <w:t xml:space="preserve">8.9M</w:t>
            </w:r>
          </w:p>
        </w:tc>
      </w:tr>
    </w:tbl>
    <w:p/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f4e9c4a4ed49e6" /><Relationship Type="http://schemas.openxmlformats.org/officeDocument/2006/relationships/image" Target="/media/image.png" Id="R98125aad9c184140" /></Relationships>
</file>