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SilentHelp AI Safety and Expert Review</w:t>
      </w:r>
    </w:p>
    <w:p>
      <w:pPr>
        <w:pStyle w:val="Subtitle"/>
      </w:pPr>
      <w:r>
        <w:t>P1 evaluation plan for the founding team and independent reviewers</w:t>
      </w:r>
    </w:p>
    <w:p>
      <w:r>
        <w:t>We propose evaluating the complete detection and response workflow before expanding monitoring or presenting accuracy claims. This plan defines the evidence to collect, the reviewers to involve and the decisions required before a student pilot. It is a proposed evaluation protocol, not a completed safety assessment or clinical validation.</w:t>
      </w:r>
    </w:p>
    <w:p>
      <w:pPr>
        <w:pStyle w:val="Heading1"/>
      </w:pPr>
      <w:r>
        <w:t>What we know and what remains unverified</w:t>
      </w:r>
    </w:p>
    <w:p>
      <w:r>
        <w:t>The team reports 179 Layer 1 unit tests and a 41,000-phrase synthetic corpus, with passing results. These results were not rerun for this document. The team reports no independent clinician review, labeled real-world evaluation or measured Layer 2 false-positive rate. Synthetic and unit tests are useful regression checks, but cannot alone establish performance in everyday student use.</w:t>
      </w:r>
    </w:p>
    <w:p>
      <w:r>
        <w:t>A source spot-check of the repository main branch on October 12, 2026 found external classification and configurable fallbacks in detection.py. Its module documentation limits the prototype to developer test messages and calls for clinical review before student use. This file alone does not establish how every deployed route behaves. app.py and store.py also show coping-chat message persistence; provider ZDR would not remove that application storage.</w:t>
      </w:r>
    </w:p>
    <w:p>
      <w:pPr>
        <w:pStyle w:val="Heading1"/>
      </w:pPr>
      <w:r>
        <w:t>Define the intended use before scoring</w:t>
      </w:r>
    </w:p>
    <w:p>
      <w:pPr>
        <w:pStyle w:val="ListBullet"/>
      </w:pPr>
      <w:r>
        <w:t>Scope: optional wellness support and routing to resources. Document whether input comes from intentional chat, background text capture, OCR or voice; evaluate each separately.</w:t>
      </w:r>
    </w:p>
    <w:p>
      <w:pPr>
        <w:pStyle w:val="ListBullet"/>
      </w:pPr>
      <w:r>
        <w:t>Use separate labels for subject, context, risk category, urgency and response action. A third-party report is a context label, not automatically proof that the user is in crisis.</w:t>
      </w:r>
    </w:p>
    <w:p>
      <w:pPr>
        <w:pStyle w:val="ListBullet"/>
      </w:pPr>
      <w:r>
        <w:t>Document actions for ordinary stress, elevated concern, urgent concern, uncertain input and provider failure. A technical failure should be visible and should not be silently counted as a successful classification.</w:t>
      </w:r>
    </w:p>
    <w:p>
      <w:pPr>
        <w:pStyle w:val="ListBullet"/>
      </w:pPr>
      <w:r>
        <w:t>Preserve user control over drafted outreach. Confirm the actual send path and what happens when the user declines. State clearly whether any human is monitoring the service.</w:t>
      </w:r>
    </w:p>
    <w:p>
      <w:pPr>
        <w:pStyle w:val="Heading1"/>
      </w:pPr>
      <w:r>
        <w:t>Required reviewers</w:t>
      </w:r>
    </w:p>
    <w:tbl>
      <w:tblPr>
        <w:tblW w:type="auto" w:w="0"/>
        <w:tblLayout w:type="fixed"/>
        <w:tblLook w:firstColumn="1" w:firstRow="1" w:lastColumn="0" w:lastRow="0" w:noHBand="0" w:noVBand="1" w:val="04A0"/>
      </w:tblPr>
      <w:tblGrid>
        <w:gridCol w:w="4968"/>
        <w:gridCol w:w="4968"/>
      </w:tblGrid>
      <w:tr>
        <w:trPr>
          <w:cantSplit/>
        </w:trPr>
        <w:tc>
          <w:tcPr>
            <w:tcW w:type="dxa" w:w="3240"/>
            <w:tcBorders>
              <w:top w:val="single" w:sz="4" w:color="D9D9D9"/>
              <w:left w:val="single" w:sz="4" w:color="D9D9D9"/>
              <w:bottom w:val="single" w:sz="4" w:color="D9D9D9"/>
              <w:right w:val="single" w:sz="4" w:color="D9D9D9"/>
            </w:tcBorders>
            <w:shd w:fill="DCEAF5"/>
          </w:tcPr>
          <w:p>
            <w:pPr>
              <w:spacing w:after="100" w:before="100"/>
            </w:pPr>
            <w:r>
              <w:rPr>
                <w:b/>
                <w:sz w:val="18"/>
              </w:rPr>
              <w:t>Reviewer</w:t>
            </w:r>
          </w:p>
        </w:tc>
        <w:tc>
          <w:tcPr>
            <w:tcW w:type="dxa" w:w="6552"/>
            <w:tcBorders>
              <w:top w:val="single" w:sz="4" w:color="D9D9D9"/>
              <w:left w:val="single" w:sz="4" w:color="D9D9D9"/>
              <w:bottom w:val="single" w:sz="4" w:color="D9D9D9"/>
              <w:right w:val="single" w:sz="4" w:color="D9D9D9"/>
            </w:tcBorders>
            <w:shd w:fill="DCEAF5"/>
          </w:tcPr>
          <w:p>
            <w:pPr>
              <w:spacing w:after="100" w:before="100"/>
            </w:pPr>
            <w:r>
              <w:rPr>
                <w:b/>
                <w:sz w:val="18"/>
              </w:rPr>
              <w:t>Review scope</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Licensed clinician with adolescent experience</w:t>
            </w:r>
          </w:p>
        </w:tc>
        <w:tc>
          <w:tcPr>
            <w:tcW w:type="dxa" w:w="6552"/>
            <w:tcBorders>
              <w:top w:val="single" w:sz="4" w:color="D9D9D9"/>
              <w:left w:val="single" w:sz="4" w:color="D9D9D9"/>
              <w:bottom w:val="single" w:sz="4" w:color="D9D9D9"/>
              <w:right w:val="single" w:sz="4" w:color="D9D9D9"/>
            </w:tcBorders>
          </w:tcPr>
          <w:p>
            <w:pPr>
              <w:spacing w:after="100" w:before="100"/>
            </w:pPr>
            <w:r>
              <w:rPr>
                <w:b w:val="0"/>
                <w:sz w:val="18"/>
              </w:rPr>
              <w:t>Labeling rubric, response wording, urgency handling and pilot boundaries.</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AI evaluation engineer</w:t>
            </w:r>
          </w:p>
        </w:tc>
        <w:tc>
          <w:tcPr>
            <w:tcW w:type="dxa" w:w="6552"/>
            <w:tcBorders>
              <w:top w:val="single" w:sz="4" w:color="D9D9D9"/>
              <w:left w:val="single" w:sz="4" w:color="D9D9D9"/>
              <w:bottom w:val="single" w:sz="4" w:color="D9D9D9"/>
              <w:right w:val="single" w:sz="4" w:color="D9D9D9"/>
            </w:tcBorders>
          </w:tcPr>
          <w:p>
            <w:pPr>
              <w:spacing w:after="100" w:before="100"/>
            </w:pPr>
            <w:r>
              <w:rPr>
                <w:b w:val="0"/>
                <w:sz w:val="18"/>
              </w:rPr>
              <w:t>Independent test design, leakage checks, error analysis and versioned reruns.</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Privacy or security specialist</w:t>
            </w:r>
          </w:p>
        </w:tc>
        <w:tc>
          <w:tcPr>
            <w:tcW w:type="dxa" w:w="6552"/>
            <w:tcBorders>
              <w:top w:val="single" w:sz="4" w:color="D9D9D9"/>
              <w:left w:val="single" w:sz="4" w:color="D9D9D9"/>
              <w:bottom w:val="single" w:sz="4" w:color="D9D9D9"/>
              <w:right w:val="single" w:sz="4" w:color="D9D9D9"/>
            </w:tcBorders>
          </w:tcPr>
          <w:p>
            <w:pPr>
              <w:spacing w:after="100" w:before="100"/>
            </w:pPr>
            <w:r>
              <w:rPr>
                <w:b w:val="0"/>
                <w:sz w:val="18"/>
              </w:rPr>
              <w:t>Capture permissions, logs, ZDR routes, storage isolation and deletion.</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Students and intended care partners</w:t>
            </w:r>
          </w:p>
        </w:tc>
        <w:tc>
          <w:tcPr>
            <w:tcW w:type="dxa" w:w="6552"/>
            <w:tcBorders>
              <w:top w:val="single" w:sz="4" w:color="D9D9D9"/>
              <w:left w:val="single" w:sz="4" w:color="D9D9D9"/>
              <w:bottom w:val="single" w:sz="4" w:color="D9D9D9"/>
              <w:right w:val="single" w:sz="4" w:color="D9D9D9"/>
            </w:tcBorders>
          </w:tcPr>
          <w:p>
            <w:pPr>
              <w:spacing w:after="100" w:before="100"/>
            </w:pPr>
            <w:r>
              <w:rPr>
                <w:b w:val="0"/>
                <w:sz w:val="18"/>
              </w:rPr>
              <w:t>Comprehension, acceptability and whether the workflow is useful.</w:t>
            </w:r>
          </w:p>
        </w:tc>
      </w:tr>
    </w:tbl>
    <w:p>
      <w:r>
        <w:br w:type="page"/>
      </w:r>
    </w:p>
    <w:p>
      <w:pPr>
        <w:pStyle w:val="Heading1"/>
      </w:pPr>
      <w:r>
        <w:t>Build a defensible evaluation set</w:t>
      </w:r>
    </w:p>
    <w:p>
      <w:r>
        <w:t>Begin with expert-authored scenarios and consenting adult role-play. Do not scrape private student messages or silently reuse monitoring text for training. Any later real-world collection needs a defined purpose, consent process, access policy and retention period reviewed for the intended population.</w:t>
      </w:r>
    </w:p>
    <w:tbl>
      <w:tblPr>
        <w:tblW w:type="auto" w:w="0"/>
        <w:tblLayout w:type="fixed"/>
        <w:tblLook w:firstColumn="1" w:firstRow="1" w:lastColumn="0" w:lastRow="0" w:noHBand="0" w:noVBand="1" w:val="04A0"/>
      </w:tblPr>
      <w:tblGrid>
        <w:gridCol w:w="4968"/>
        <w:gridCol w:w="4968"/>
      </w:tblGrid>
      <w:tr>
        <w:trPr>
          <w:cantSplit/>
        </w:trPr>
        <w:tc>
          <w:tcPr>
            <w:tcW w:type="dxa" w:w="2520"/>
            <w:tcBorders>
              <w:top w:val="single" w:sz="4" w:color="D9D9D9"/>
              <w:left w:val="single" w:sz="4" w:color="D9D9D9"/>
              <w:bottom w:val="single" w:sz="4" w:color="D9D9D9"/>
              <w:right w:val="single" w:sz="4" w:color="D9D9D9"/>
            </w:tcBorders>
            <w:shd w:fill="DCEAF5"/>
          </w:tcPr>
          <w:p>
            <w:pPr>
              <w:spacing w:after="100" w:before="100"/>
            </w:pPr>
            <w:r>
              <w:rPr>
                <w:b/>
                <w:sz w:val="18"/>
              </w:rPr>
              <w:t>Test slice</w:t>
            </w:r>
          </w:p>
        </w:tc>
        <w:tc>
          <w:tcPr>
            <w:tcW w:type="dxa" w:w="7272"/>
            <w:tcBorders>
              <w:top w:val="single" w:sz="4" w:color="D9D9D9"/>
              <w:left w:val="single" w:sz="4" w:color="D9D9D9"/>
              <w:bottom w:val="single" w:sz="4" w:color="D9D9D9"/>
              <w:right w:val="single" w:sz="4" w:color="D9D9D9"/>
            </w:tcBorders>
            <w:shd w:fill="DCEAF5"/>
          </w:tcPr>
          <w:p>
            <w:pPr>
              <w:spacing w:after="100" w:before="100"/>
            </w:pPr>
            <w:r>
              <w:rPr>
                <w:b/>
                <w:sz w:val="18"/>
              </w:rPr>
              <w:t>Examples to cover</w:t>
            </w:r>
          </w:p>
        </w:tc>
      </w:tr>
      <w:tr>
        <w:trPr>
          <w:cantSplit/>
        </w:trPr>
        <w:tc>
          <w:tcPr>
            <w:tcW w:type="dxa" w:w="2520"/>
            <w:tcBorders>
              <w:top w:val="single" w:sz="4" w:color="D9D9D9"/>
              <w:left w:val="single" w:sz="4" w:color="D9D9D9"/>
              <w:bottom w:val="single" w:sz="4" w:color="D9D9D9"/>
              <w:right w:val="single" w:sz="4" w:color="D9D9D9"/>
            </w:tcBorders>
          </w:tcPr>
          <w:p>
            <w:pPr>
              <w:spacing w:after="100" w:before="100"/>
            </w:pPr>
            <w:r>
              <w:rPr>
                <w:b w:val="0"/>
                <w:sz w:val="18"/>
              </w:rPr>
              <w:t>Context and attribution</w:t>
            </w:r>
          </w:p>
        </w:tc>
        <w:tc>
          <w:tcPr>
            <w:tcW w:type="dxa" w:w="7272"/>
            <w:tcBorders>
              <w:top w:val="single" w:sz="4" w:color="D9D9D9"/>
              <w:left w:val="single" w:sz="4" w:color="D9D9D9"/>
              <w:bottom w:val="single" w:sz="4" w:color="D9D9D9"/>
              <w:right w:val="single" w:sz="4" w:color="D9D9D9"/>
            </w:tcBorders>
          </w:tcPr>
          <w:p>
            <w:pPr>
              <w:spacing w:after="100" w:before="100"/>
            </w:pPr>
            <w:r>
              <w:rPr>
                <w:b w:val="0"/>
                <w:sz w:val="18"/>
              </w:rPr>
              <w:t>Jokes, slang, quoted material, class assignments, past events, negation and reports about a friend.</w:t>
            </w:r>
          </w:p>
        </w:tc>
      </w:tr>
      <w:tr>
        <w:trPr>
          <w:cantSplit/>
        </w:trPr>
        <w:tc>
          <w:tcPr>
            <w:tcW w:type="dxa" w:w="2520"/>
            <w:tcBorders>
              <w:top w:val="single" w:sz="4" w:color="D9D9D9"/>
              <w:left w:val="single" w:sz="4" w:color="D9D9D9"/>
              <w:bottom w:val="single" w:sz="4" w:color="D9D9D9"/>
              <w:right w:val="single" w:sz="4" w:color="D9D9D9"/>
            </w:tcBorders>
          </w:tcPr>
          <w:p>
            <w:pPr>
              <w:spacing w:after="100" w:before="100"/>
            </w:pPr>
            <w:r>
              <w:rPr>
                <w:b w:val="0"/>
                <w:sz w:val="18"/>
              </w:rPr>
              <w:t>Language and input quality</w:t>
            </w:r>
          </w:p>
        </w:tc>
        <w:tc>
          <w:tcPr>
            <w:tcW w:type="dxa" w:w="7272"/>
            <w:tcBorders>
              <w:top w:val="single" w:sz="4" w:color="D9D9D9"/>
              <w:left w:val="single" w:sz="4" w:color="D9D9D9"/>
              <w:bottom w:val="single" w:sz="4" w:color="D9D9D9"/>
              <w:right w:val="single" w:sz="4" w:color="D9D9D9"/>
            </w:tcBorders>
          </w:tcPr>
          <w:p>
            <w:pPr>
              <w:spacing w:after="100" w:before="100"/>
            </w:pPr>
            <w:r>
              <w:rPr>
                <w:b w:val="0"/>
                <w:sz w:val="18"/>
              </w:rPr>
              <w:t>Typos, supported languages, OCR mistakes, speech transcription errors and short ambiguous inputs.</w:t>
            </w:r>
          </w:p>
        </w:tc>
      </w:tr>
      <w:tr>
        <w:trPr>
          <w:cantSplit/>
        </w:trPr>
        <w:tc>
          <w:tcPr>
            <w:tcW w:type="dxa" w:w="2520"/>
            <w:tcBorders>
              <w:top w:val="single" w:sz="4" w:color="D9D9D9"/>
              <w:left w:val="single" w:sz="4" w:color="D9D9D9"/>
              <w:bottom w:val="single" w:sz="4" w:color="D9D9D9"/>
              <w:right w:val="single" w:sz="4" w:color="D9D9D9"/>
            </w:tcBorders>
          </w:tcPr>
          <w:p>
            <w:pPr>
              <w:spacing w:after="100" w:before="100"/>
            </w:pPr>
            <w:r>
              <w:rPr>
                <w:b w:val="0"/>
                <w:sz w:val="18"/>
              </w:rPr>
              <w:t>Temporal behavior</w:t>
            </w:r>
          </w:p>
        </w:tc>
        <w:tc>
          <w:tcPr>
            <w:tcW w:type="dxa" w:w="7272"/>
            <w:tcBorders>
              <w:top w:val="single" w:sz="4" w:color="D9D9D9"/>
              <w:left w:val="single" w:sz="4" w:color="D9D9D9"/>
              <w:bottom w:val="single" w:sz="4" w:color="D9D9D9"/>
              <w:right w:val="single" w:sz="4" w:color="D9D9D9"/>
            </w:tcBorders>
          </w:tcPr>
          <w:p>
            <w:pPr>
              <w:spacing w:after="100" w:before="100"/>
            </w:pPr>
            <w:r>
              <w:rPr>
                <w:b w:val="0"/>
                <w:sz w:val="18"/>
              </w:rPr>
              <w:t>Repeated benign messages, changing concern across days, contradictory history and crisis handling around the trend gate.</w:t>
            </w:r>
          </w:p>
        </w:tc>
      </w:tr>
      <w:tr>
        <w:trPr>
          <w:cantSplit/>
        </w:trPr>
        <w:tc>
          <w:tcPr>
            <w:tcW w:type="dxa" w:w="2520"/>
            <w:tcBorders>
              <w:top w:val="single" w:sz="4" w:color="D9D9D9"/>
              <w:left w:val="single" w:sz="4" w:color="D9D9D9"/>
              <w:bottom w:val="single" w:sz="4" w:color="D9D9D9"/>
              <w:right w:val="single" w:sz="4" w:color="D9D9D9"/>
            </w:tcBorders>
          </w:tcPr>
          <w:p>
            <w:pPr>
              <w:spacing w:after="100" w:before="100"/>
            </w:pPr>
            <w:r>
              <w:rPr>
                <w:b w:val="0"/>
                <w:sz w:val="18"/>
              </w:rPr>
              <w:t>Failure and misuse</w:t>
            </w:r>
          </w:p>
        </w:tc>
        <w:tc>
          <w:tcPr>
            <w:tcW w:type="dxa" w:w="7272"/>
            <w:tcBorders>
              <w:top w:val="single" w:sz="4" w:color="D9D9D9"/>
              <w:left w:val="single" w:sz="4" w:color="D9D9D9"/>
              <w:bottom w:val="single" w:sz="4" w:color="D9D9D9"/>
              <w:right w:val="single" w:sz="4" w:color="D9D9D9"/>
            </w:tcBorders>
          </w:tcPr>
          <w:p>
            <w:pPr>
              <w:spacing w:after="100" w:before="100"/>
            </w:pPr>
            <w:r>
              <w:rPr>
                <w:b w:val="0"/>
                <w:sz w:val="18"/>
              </w:rPr>
              <w:t>Timeouts, fallback models, malformed JSON, prompt injection, duplicate requests and unavailable providers.</w:t>
            </w:r>
          </w:p>
        </w:tc>
      </w:tr>
      <w:tr>
        <w:trPr>
          <w:cantSplit/>
        </w:trPr>
        <w:tc>
          <w:tcPr>
            <w:tcW w:type="dxa" w:w="2520"/>
            <w:tcBorders>
              <w:top w:val="single" w:sz="4" w:color="D9D9D9"/>
              <w:left w:val="single" w:sz="4" w:color="D9D9D9"/>
              <w:bottom w:val="single" w:sz="4" w:color="D9D9D9"/>
              <w:right w:val="single" w:sz="4" w:color="D9D9D9"/>
            </w:tcBorders>
          </w:tcPr>
          <w:p>
            <w:pPr>
              <w:spacing w:after="100" w:before="100"/>
            </w:pPr>
            <w:r>
              <w:rPr>
                <w:b w:val="0"/>
                <w:sz w:val="18"/>
              </w:rPr>
              <w:t>User experience</w:t>
            </w:r>
          </w:p>
        </w:tc>
        <w:tc>
          <w:tcPr>
            <w:tcW w:type="dxa" w:w="7272"/>
            <w:tcBorders>
              <w:top w:val="single" w:sz="4" w:color="D9D9D9"/>
              <w:left w:val="single" w:sz="4" w:color="D9D9D9"/>
              <w:bottom w:val="single" w:sz="4" w:color="D9D9D9"/>
              <w:right w:val="single" w:sz="4" w:color="D9D9D9"/>
            </w:tcBorders>
          </w:tcPr>
          <w:p>
            <w:pPr>
              <w:spacing w:after="100" w:before="100"/>
            </w:pPr>
            <w:r>
              <w:rPr>
                <w:b w:val="0"/>
                <w:sz w:val="18"/>
              </w:rPr>
              <w:t>Pause, exclusions, dismissed prompts, interrupted voice sessions and attempts to send without consent.</w:t>
            </w:r>
          </w:p>
        </w:tc>
      </w:tr>
    </w:tbl>
    <w:p>
      <w:r>
        <w:t>Have two qualified reviewers label the safety-critical cases independently using the same written rubric. Record disagreement and adjudication. Keep a held-out test set separate from prompt tuning. Split scenario families, people and paraphrases together so near-duplicates cannot leak across development and test sets.</w:t>
      </w:r>
    </w:p>
    <w:p>
      <w:pPr>
        <w:pStyle w:val="Heading1"/>
      </w:pPr>
      <w:r>
        <w:t>Measure each stage and the complete system</w:t>
      </w:r>
    </w:p>
    <w:p>
      <w:r>
        <w:t>Evaluate Layer 1, each Layer 2 provider and fallback, deterministic response rules, behavioral and trend gates, and the final user-visible action. Include cases never sent to Layer 2 because Layer 1 missed them. Otherwise the end-to-end miss rate will be understated.</w:t>
      </w:r>
    </w:p>
    <w:tbl>
      <w:tblPr>
        <w:tblW w:type="auto" w:w="0"/>
        <w:tblLayout w:type="fixed"/>
        <w:tblLook w:firstColumn="1" w:firstRow="1" w:lastColumn="0" w:lastRow="0" w:noHBand="0" w:noVBand="1" w:val="04A0"/>
      </w:tblPr>
      <w:tblGrid>
        <w:gridCol w:w="4968"/>
        <w:gridCol w:w="4968"/>
      </w:tblGrid>
      <w:tr>
        <w:trPr>
          <w:cantSplit/>
        </w:trPr>
        <w:tc>
          <w:tcPr>
            <w:tcW w:type="dxa" w:w="2592"/>
            <w:tcBorders>
              <w:top w:val="single" w:sz="4" w:color="D9D9D9"/>
              <w:left w:val="single" w:sz="4" w:color="D9D9D9"/>
              <w:bottom w:val="single" w:sz="4" w:color="D9D9D9"/>
              <w:right w:val="single" w:sz="4" w:color="D9D9D9"/>
            </w:tcBorders>
            <w:shd w:fill="DCEAF5"/>
          </w:tcPr>
          <w:p>
            <w:pPr>
              <w:spacing w:after="100" w:before="100"/>
            </w:pPr>
            <w:r>
              <w:rPr>
                <w:b/>
                <w:sz w:val="18"/>
              </w:rPr>
              <w:t>Metric</w:t>
            </w:r>
          </w:p>
        </w:tc>
        <w:tc>
          <w:tcPr>
            <w:tcW w:type="dxa" w:w="7200"/>
            <w:tcBorders>
              <w:top w:val="single" w:sz="4" w:color="D9D9D9"/>
              <w:left w:val="single" w:sz="4" w:color="D9D9D9"/>
              <w:bottom w:val="single" w:sz="4" w:color="D9D9D9"/>
              <w:right w:val="single" w:sz="4" w:color="D9D9D9"/>
            </w:tcBorders>
            <w:shd w:fill="DCEAF5"/>
          </w:tcPr>
          <w:p>
            <w:pPr>
              <w:spacing w:after="100" w:before="100"/>
            </w:pPr>
            <w:r>
              <w:rPr>
                <w:b/>
                <w:sz w:val="18"/>
              </w:rPr>
              <w:t>Definition and reporting</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Precision</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8"/>
              </w:rPr>
              <w:t>True positive alerts / all positive alerts. Report by category and input mode.</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Recall and false negatives</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8"/>
              </w:rPr>
              <w:t>True positive alerts / all actual positives; also report missed cases and their consequences.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False-positive rate</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8"/>
              </w:rPr>
              <w:t>False positives / all actual negatives. Include a separate benign-use test slice.</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Alert burden</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8"/>
              </w:rPr>
              <w:t>Alerts per active user-day or per defined monitoring hour in a consented pilot.</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Reliability</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8"/>
              </w:rPr>
              <w:t>Abstentions, unavailable responses, parse errors and latency percentiles, by provider.</w:t>
            </w:r>
          </w:p>
        </w:tc>
      </w:tr>
    </w:tbl>
    <w:p>
      <w:r>
        <w:t>Always show counts and denominators, dataset composition and uncertainty intervals. A balanced challenge set does not establish real-world alert precision. Do not collapse all results into one accuracy percentage.</w:t>
      </w:r>
    </w:p>
    <w:p>
      <w:r>
        <w:br w:type="page"/>
      </w:r>
    </w:p>
    <w:p>
      <w:pPr>
        <w:pStyle w:val="Heading1"/>
      </w:pPr>
      <w:r>
        <w:t>Run the review and make the decision</w:t>
      </w:r>
    </w:p>
    <w:p>
      <w:pPr>
        <w:pStyle w:val="Heading1"/>
      </w:pPr>
      <w:r>
        <w:t>Review packet</w:t>
      </w:r>
    </w:p>
    <w:p>
      <w:pPr>
        <w:pStyle w:val="ListBullet"/>
      </w:pPr>
      <w:r>
        <w:t>Freeze the commit, model IDs, prompts, routing settings, thresholds and test-set version. Include an architecture diagram and the actual user-facing messages.</w:t>
      </w:r>
    </w:p>
    <w:p>
      <w:pPr>
        <w:pStyle w:val="ListBullet"/>
      </w:pPr>
      <w:r>
        <w:t>Provide the labeling rubric, per-slice results, disagreement log, failure examples and a known-limitations statement. Use synthetic examples where possible.</w:t>
      </w:r>
    </w:p>
    <w:p>
      <w:pPr>
        <w:pStyle w:val="ListBullet"/>
      </w:pPr>
      <w:r>
        <w:t>Document privacy evidence for each provider endpoint and fallback, as well as local logging and persistence tests. Review speech services separately if voice is added.</w:t>
      </w:r>
    </w:p>
    <w:p>
      <w:pPr>
        <w:pStyle w:val="ListBullet"/>
      </w:pPr>
      <w:r>
        <w:t>Ask reviewers for written findings, required changes, unresolved risks and the exact scope they reviewed. An informal endorsement is not clinical validation.</w:t>
      </w:r>
    </w:p>
    <w:p>
      <w:pPr>
        <w:pStyle w:val="Heading1"/>
      </w:pPr>
      <w:r>
        <w:t>Proposed release gates</w:t>
      </w:r>
    </w:p>
    <w:p>
      <w:r>
        <w:t>Before a pilot, the team and reviewers should agree on numerical targets appropriate to the intended use and expected harm. This document intentionally does not invent a universal safe accuracy threshold. Pre-register the targets before looking at the held-out results.</w:t>
      </w:r>
    </w:p>
    <w:tbl>
      <w:tblPr>
        <w:tblW w:type="auto" w:w="0"/>
        <w:tblLayout w:type="fixed"/>
        <w:tblLook w:firstColumn="1" w:firstRow="1" w:lastColumn="0" w:lastRow="0" w:noHBand="0" w:noVBand="1" w:val="04A0"/>
      </w:tblPr>
      <w:tblGrid>
        <w:gridCol w:w="4968"/>
        <w:gridCol w:w="4968"/>
      </w:tblGrid>
      <w:tr>
        <w:trPr>
          <w:cantSplit/>
        </w:trPr>
        <w:tc>
          <w:tcPr>
            <w:tcW w:type="dxa" w:w="2592"/>
            <w:tcBorders>
              <w:top w:val="single" w:sz="4" w:color="D9D9D9"/>
              <w:left w:val="single" w:sz="4" w:color="D9D9D9"/>
              <w:bottom w:val="single" w:sz="4" w:color="D9D9D9"/>
              <w:right w:val="single" w:sz="4" w:color="D9D9D9"/>
            </w:tcBorders>
            <w:shd w:fill="DCEAF5"/>
          </w:tcPr>
          <w:p>
            <w:pPr>
              <w:spacing w:after="100" w:before="100"/>
            </w:pPr>
            <w:r>
              <w:rPr>
                <w:b/>
                <w:sz w:val="18"/>
              </w:rPr>
              <w:t>Gate</w:t>
            </w:r>
          </w:p>
        </w:tc>
        <w:tc>
          <w:tcPr>
            <w:tcW w:type="dxa" w:w="7200"/>
            <w:tcBorders>
              <w:top w:val="single" w:sz="4" w:color="D9D9D9"/>
              <w:left w:val="single" w:sz="4" w:color="D9D9D9"/>
              <w:bottom w:val="single" w:sz="4" w:color="D9D9D9"/>
              <w:right w:val="single" w:sz="4" w:color="D9D9D9"/>
            </w:tcBorders>
            <w:shd w:fill="DCEAF5"/>
          </w:tcPr>
          <w:p>
            <w:pPr>
              <w:spacing w:after="100" w:before="100"/>
            </w:pPr>
            <w:r>
              <w:rPr>
                <w:b/>
                <w:sz w:val="18"/>
              </w:rPr>
              <w:t>Evidence required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Response safety</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8"/>
              </w:rPr>
              <w:t>All clinician-designated must-pass scenarios behave as specified; no unresolved high-severity response defects.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Privacy and access</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8"/>
              </w:rPr>
              <w:t>Capture controls, provider routing, no-body logs, cross-user isolation and deletion checks pass.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Measured performance</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8"/>
              </w:rPr>
              <w:t>Per-slice confusion matrices and uncertainty reported against the pre-agreed targets.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Pilot operations</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8"/>
              </w:rPr>
              <w:t>Named owner, limited scope, feedback channel, incident process and tested rollback or disable switch.</w:t>
            </w:r>
          </w:p>
        </w:tc>
      </w:tr>
    </w:tbl>
    <w:p>
      <w:pPr>
        <w:pStyle w:val="Heading1"/>
      </w:pPr>
      <w:r>
        <w:t>First concrete work items</w:t>
      </w:r>
    </w:p>
    <w:p>
      <w:r>
        <w:t>Abhinav can assemble the reproducible review packet and test runner. The team must assign a clinical reviewer, an engineering owner and a privacy reviewer; these are unfilled roles, not confirmed participants. First agree on the rubric, then create the held-out scenarios, run the full pipeline, resolve failures and obtain the scoped review decision.</w:t>
      </w:r>
    </w:p>
    <w:p>
      <w:pPr>
        <w:pStyle w:val="Heading1"/>
      </w:pPr>
      <w:r>
        <w:t>Sources and evidence limits</w:t>
      </w:r>
    </w:p>
    <w:p>
      <w:r>
        <w:t>Repository files inspected: github.com/silenthelp-dotcom/silenthelp/blob/main/detection.py; /app.py; /store.py. Source was read through the GitHub connection on October 12, 2026. Deployment state, provider-console settings and real user records were not inspected.</w:t>
      </w:r>
    </w:p>
    <w:p>
      <w:r>
        <w:t>Reference: NIST AI Resource Center, https://airc.nist.gov/ (accessed October 12, 2026), for testing, evaluation, verification and validation resources. Provider retention reference: https://console.groq.com/docs/your-data. The workflow and release gates above are proposals specific to SilentHelp, not a claim of certification.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SilentHelp  |  Internal planning draft  |  12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