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SilentHelp Product Database</w:t>
      </w:r>
    </w:p>
    <w:p>
      <w:pPr>
        <w:pStyle w:val="Subtitle"/>
      </w:pPr>
      <w:r>
        <w:t>Proposed data model and migration plan for the founding team</w:t>
      </w:r>
    </w:p>
    <w:p>
      <w:r>
        <w:t>We propose moving wellness records into a durable, access-controlled PostgreSQL store while keeping raw monitoring text out of persistent storage. The schema below supports user preferences, detection summaries, care-plan check-ins and optional therapist reports. It is a design draft, not an applied migration or a statement that these features are live.</w:t>
      </w:r>
    </w:p>
    <w:p>
      <w:pPr>
        <w:pStyle w:val="Heading1"/>
      </w:pPr>
      <w:r>
        <w:t>Current baseline and the storage decision</w:t>
      </w:r>
    </w:p>
    <w:p>
      <w:r>
        <w:t>The team reports PostgreSQL for careers, HQ, QA and survey data, with wellness records in server-side JSON files. A source spot-check confirmed JSON-based storage in store.py. It also confirmed that app.py calls store.add_chat for both the user message and assistant reply, and that add_chat saves content. Saved and archived chats therefore require an explicit migration and retention decision; the blanket statement that no raw text is stored does not describe this code.</w:t>
      </w:r>
    </w:p>
    <w:p>
      <w:r>
        <w:t>Production target: transient monitoring text and audio, verified ZDR inference routes, minimal stored event metadata, and separate opt-in records for saved conversations or care coordination. ZDR concerns provider handling; it does not delete the application database or backups.</w:t>
      </w:r>
    </w:p>
    <w:p>
      <w:pPr>
        <w:pStyle w:val="Heading1"/>
      </w:pPr>
      <w:r>
        <w:t>Core records</w:t>
      </w:r>
    </w:p>
    <w:tbl>
      <w:tblPr>
        <w:tblW w:type="auto" w:w="0"/>
        <w:tblLayout w:type="fixed"/>
        <w:tblLook w:firstColumn="1" w:firstRow="1" w:lastColumn="0" w:lastRow="0" w:noHBand="0" w:noVBand="1" w:val="04A0"/>
      </w:tblPr>
      <w:tblGrid>
        <w:gridCol w:w="3312"/>
        <w:gridCol w:w="3312"/>
        <w:gridCol w:w="3312"/>
      </w:tblGrid>
      <w:tr>
        <w:trPr>
          <w:cantSplit/>
        </w:trPr>
        <w:tc>
          <w:tcPr>
            <w:tcW w:type="dxa" w:w="2160"/>
            <w:tcBorders>
              <w:top w:val="single" w:sz="4" w:color="D9D9D9"/>
              <w:left w:val="single" w:sz="4" w:color="D9D9D9"/>
              <w:bottom w:val="single" w:sz="4" w:color="D9D9D9"/>
              <w:right w:val="single" w:sz="4" w:color="D9D9D9"/>
            </w:tcBorders>
            <w:shd w:fill="DCEAF5"/>
          </w:tcPr>
          <w:p>
            <w:pPr>
              <w:spacing w:after="100" w:before="100"/>
            </w:pPr>
            <w:r>
              <w:rPr>
                <w:b/>
                <w:sz w:val="18"/>
              </w:rPr>
              <w:t>Table</w:t>
            </w:r>
          </w:p>
        </w:tc>
        <w:tc>
          <w:tcPr>
            <w:tcW w:type="dxa" w:w="3672"/>
            <w:tcBorders>
              <w:top w:val="single" w:sz="4" w:color="D9D9D9"/>
              <w:left w:val="single" w:sz="4" w:color="D9D9D9"/>
              <w:bottom w:val="single" w:sz="4" w:color="D9D9D9"/>
              <w:right w:val="single" w:sz="4" w:color="D9D9D9"/>
            </w:tcBorders>
            <w:shd w:fill="DCEAF5"/>
          </w:tcPr>
          <w:p>
            <w:pPr>
              <w:spacing w:after="100" w:before="100"/>
            </w:pPr>
            <w:r>
              <w:rPr>
                <w:b/>
                <w:sz w:val="18"/>
              </w:rPr>
              <w:t>Key fields</w:t>
            </w:r>
          </w:p>
        </w:tc>
        <w:tc>
          <w:tcPr>
            <w:tcW w:type="dxa" w:w="3960"/>
            <w:tcBorders>
              <w:top w:val="single" w:sz="4" w:color="D9D9D9"/>
              <w:left w:val="single" w:sz="4" w:color="D9D9D9"/>
              <w:bottom w:val="single" w:sz="4" w:color="D9D9D9"/>
              <w:right w:val="single" w:sz="4" w:color="D9D9D9"/>
            </w:tcBorders>
            <w:shd w:fill="DCEAF5"/>
          </w:tcPr>
          <w:p>
            <w:pPr>
              <w:spacing w:after="100" w:before="100"/>
            </w:pPr>
            <w:r>
              <w:rPr>
                <w:b/>
                <w:sz w:val="18"/>
              </w:rPr>
              <w:t>Purpose</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users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UUID PK; auth_subject UNIQUE; created_at; deletion_requested_at</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Link to authentication without copying unnecessary identity data.</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preferences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user_id PK/FK; timezone; capture_paused; enabled_signals; policy_version</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Store explicit controls and the user timezone.</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consent_events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user_id FK; purpose; scope; policy_version; granted_at; revoked_at</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Record versioned permission changes; avoid a single consent boolean.</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detection_categories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PK; code UNIQUE; description; rubric_version; active</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Version the meaning of a category.</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detection_events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user_id FK; category_id FK; level; occurred_at; model_version; expires_at</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Store minimal results, with no captured text or generated rationale.</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feedback</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user_id FK; event_id FK nullable; rating; reason_code; created_at</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Capture corrections without requesting the original conversation.</w:t>
            </w:r>
          </w:p>
        </w:tc>
      </w:tr>
    </w:tbl>
    <w:p>
      <w:r>
        <w:t>Each user-owned table needs server-enforced ownership checks. A client-supplied user_id must never decide which account is accessed. Validate category and severity values; store uncertain results explicitly rather than coercing them to a reassuring category.</w:t>
      </w:r>
    </w:p>
    <w:p>
      <w:r>
        <w:br w:type="page"/>
      </w:r>
    </w:p>
    <w:p>
      <w:pPr>
        <w:pStyle w:val="Heading1"/>
      </w:pPr>
      <w:r>
        <w:t>Care plans and weekly reports</w:t>
      </w:r>
    </w:p>
    <w:tbl>
      <w:tblPr>
        <w:tblW w:type="auto" w:w="0"/>
        <w:tblLayout w:type="fixed"/>
        <w:tblLook w:firstColumn="1" w:firstRow="1" w:lastColumn="0" w:lastRow="0" w:noHBand="0" w:noVBand="1" w:val="04A0"/>
      </w:tblPr>
      <w:tblGrid>
        <w:gridCol w:w="3312"/>
        <w:gridCol w:w="3312"/>
        <w:gridCol w:w="3312"/>
      </w:tblGrid>
      <w:tr>
        <w:trPr>
          <w:cantSplit/>
        </w:trPr>
        <w:tc>
          <w:tcPr>
            <w:tcW w:type="dxa" w:w="2160"/>
            <w:tcBorders>
              <w:top w:val="single" w:sz="4" w:color="D9D9D9"/>
              <w:left w:val="single" w:sz="4" w:color="D9D9D9"/>
              <w:bottom w:val="single" w:sz="4" w:color="D9D9D9"/>
              <w:right w:val="single" w:sz="4" w:color="D9D9D9"/>
            </w:tcBorders>
            <w:shd w:fill="DCEAF5"/>
          </w:tcPr>
          <w:p>
            <w:pPr>
              <w:spacing w:after="100" w:before="100"/>
            </w:pPr>
            <w:r>
              <w:rPr>
                <w:b/>
                <w:sz w:val="18"/>
              </w:rPr>
              <w:t>Table</w:t>
            </w:r>
          </w:p>
        </w:tc>
        <w:tc>
          <w:tcPr>
            <w:tcW w:type="dxa" w:w="3672"/>
            <w:tcBorders>
              <w:top w:val="single" w:sz="4" w:color="D9D9D9"/>
              <w:left w:val="single" w:sz="4" w:color="D9D9D9"/>
              <w:bottom w:val="single" w:sz="4" w:color="D9D9D9"/>
              <w:right w:val="single" w:sz="4" w:color="D9D9D9"/>
            </w:tcBorders>
            <w:shd w:fill="DCEAF5"/>
          </w:tcPr>
          <w:p>
            <w:pPr>
              <w:spacing w:after="100" w:before="100"/>
            </w:pPr>
            <w:r>
              <w:rPr>
                <w:b/>
                <w:sz w:val="18"/>
              </w:rPr>
              <w:t>Key fields</w:t>
            </w:r>
          </w:p>
        </w:tc>
        <w:tc>
          <w:tcPr>
            <w:tcW w:type="dxa" w:w="3960"/>
            <w:tcBorders>
              <w:top w:val="single" w:sz="4" w:color="D9D9D9"/>
              <w:left w:val="single" w:sz="4" w:color="D9D9D9"/>
              <w:bottom w:val="single" w:sz="4" w:color="D9D9D9"/>
              <w:right w:val="single" w:sz="4" w:color="D9D9D9"/>
            </w:tcBorders>
            <w:shd w:fill="DCEAF5"/>
          </w:tcPr>
          <w:p>
            <w:pPr>
              <w:spacing w:after="100" w:before="100"/>
            </w:pPr>
            <w:r>
              <w:rPr>
                <w:b/>
                <w:sz w:val="18"/>
              </w:rPr>
              <w:t>Important constraint</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care_plans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user_id; clinician_id nullable; version; start_date; end_date; state</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Record who authored and agreed to the plan; version edits.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care_tasks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plan_id FK; goal_text; schedule; measure_type</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Use specific agreed actions. Goal text is sensitive stored content.</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checkins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task_id; user_id; local_date; status; source; note nullable</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Use done, partial, not_done or unknown; label self-report.</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appointments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user_id; scheduled_at; timezone; report_window</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Changes must reschedule or cancel the draft job.</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reports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user_id; plan_version; period_start/end; generated_at; approved_at; expires_at</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Store an immutable approved snapshot; changes create a new version.</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report_items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report_id FK; task_id; source; observation; missingness</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Separate self-report, device observation and unknowns.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report_grants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report_id FK; recipient_id; granted_at; expires_at; revoked_at</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Grant access to one approved report, not all future records.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audit_events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actor_id; action; object_id; occurred_at</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Log reads and sharing changes without raw report or chat content.</w:t>
            </w:r>
          </w:p>
        </w:tc>
      </w:tr>
    </w:tbl>
    <w:p>
      <w:pPr>
        <w:pStyle w:val="Heading1"/>
      </w:pPr>
      <w:r>
        <w:t>Previsit workflow</w:t>
      </w:r>
    </w:p>
    <w:p>
      <w:r>
        <w:t>A scheduled job prepares a private draft one day before the appointment in the user’s timezone. It uses a defined reporting window and an idempotency key based on the appointment and report version. The user reviews the draft, corrects self-reported information and approves a fixed snapshot for a verified recipient. Only then may the system notify that recipient. A draft job is not permission to share.</w:t>
      </w:r>
    </w:p>
    <w:p>
      <w:r>
        <w:t>For an illustrative goal of five walks, a user might report four and a device might record three. Keep those observations separate because they can overlap. Missing device coverage is unknown, not proof that the user skipped the goal. A report must never invent a completion percentage from incompatible sources.</w:t>
      </w:r>
    </w:p>
    <w:p>
      <w:pPr>
        <w:pStyle w:val="Heading1"/>
      </w:pPr>
      <w:r>
        <w:t>Access and revocation</w:t>
      </w:r>
    </w:p>
    <w:p>
      <w:r>
        <w:t>The user can see their own plan, observations and reports. A therapist sees only an actively shared report and any separately granted plan access. School or organization membership gives no automatic access. Revocation blocks future application access; it cannot retract an already downloaded copy. Implement recipient verification before any real sharing.</w:t>
      </w:r>
    </w:p>
    <w:p>
      <w:r>
        <w:br w:type="page"/>
      </w:r>
    </w:p>
    <w:p>
      <w:pPr>
        <w:pStyle w:val="Heading1"/>
      </w:pPr>
      <w:r>
        <w:t>Resources and wearable integrations</w:t>
      </w:r>
    </w:p>
    <w:tbl>
      <w:tblPr>
        <w:tblW w:type="auto" w:w="0"/>
        <w:tblLayout w:type="fixed"/>
        <w:tblLook w:firstColumn="1" w:firstRow="1" w:lastColumn="0" w:lastRow="0" w:noHBand="0" w:noVBand="1" w:val="04A0"/>
      </w:tblPr>
      <w:tblGrid>
        <w:gridCol w:w="3312"/>
        <w:gridCol w:w="3312"/>
        <w:gridCol w:w="3312"/>
      </w:tblGrid>
      <w:tr>
        <w:trPr>
          <w:cantSplit/>
        </w:trPr>
        <w:tc>
          <w:tcPr>
            <w:tcW w:type="dxa" w:w="2160"/>
            <w:tcBorders>
              <w:top w:val="single" w:sz="4" w:color="D9D9D9"/>
              <w:left w:val="single" w:sz="4" w:color="D9D9D9"/>
              <w:bottom w:val="single" w:sz="4" w:color="D9D9D9"/>
              <w:right w:val="single" w:sz="4" w:color="D9D9D9"/>
            </w:tcBorders>
            <w:shd w:fill="DCEAF5"/>
          </w:tcPr>
          <w:p>
            <w:pPr>
              <w:spacing w:after="100" w:before="100"/>
            </w:pPr>
            <w:r>
              <w:rPr>
                <w:b/>
                <w:sz w:val="18"/>
              </w:rPr>
              <w:t>Table</w:t>
            </w:r>
          </w:p>
        </w:tc>
        <w:tc>
          <w:tcPr>
            <w:tcW w:type="dxa" w:w="3672"/>
            <w:tcBorders>
              <w:top w:val="single" w:sz="4" w:color="D9D9D9"/>
              <w:left w:val="single" w:sz="4" w:color="D9D9D9"/>
              <w:bottom w:val="single" w:sz="4" w:color="D9D9D9"/>
              <w:right w:val="single" w:sz="4" w:color="D9D9D9"/>
            </w:tcBorders>
            <w:shd w:fill="DCEAF5"/>
          </w:tcPr>
          <w:p>
            <w:pPr>
              <w:spacing w:after="100" w:before="100"/>
            </w:pPr>
            <w:r>
              <w:rPr>
                <w:b/>
                <w:sz w:val="18"/>
              </w:rPr>
              <w:t>Key fields</w:t>
            </w:r>
          </w:p>
        </w:tc>
        <w:tc>
          <w:tcPr>
            <w:tcW w:type="dxa" w:w="3960"/>
            <w:tcBorders>
              <w:top w:val="single" w:sz="4" w:color="D9D9D9"/>
              <w:left w:val="single" w:sz="4" w:color="D9D9D9"/>
              <w:bottom w:val="single" w:sz="4" w:color="D9D9D9"/>
              <w:right w:val="single" w:sz="4" w:color="D9D9D9"/>
            </w:tcBorders>
            <w:shd w:fill="DCEAF5"/>
          </w:tcPr>
          <w:p>
            <w:pPr>
              <w:spacing w:after="100" w:before="100"/>
            </w:pPr>
            <w:r>
              <w:rPr>
                <w:b/>
                <w:sz w:val="18"/>
              </w:rPr>
              <w:t>Handling</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resources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name; type; website; region; reviewed_at; source</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Public resource catalog; review links and contact details.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therapist_listings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source_id; provider_name; location; ages; languages; verified_at</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Show provenance; do not imply live availability or guaranteed fit.</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device_connections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user_id; platform; granted_types; connected_at; revoked_at</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Keep tokens in a secrets store; database holds a reference only.</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device_observations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user_id; source; metric; value; unit; start/end; timezone; coverage; external_id</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Deduplicate and retain provenance. Prefer task-relevant summaries.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8"/>
              </w:rPr>
              <w:t>deletion_jobs</w:t>
            </w:r>
          </w:p>
        </w:tc>
        <w:tc>
          <w:tcPr>
            <w:tcW w:type="dxa" w:w="3672"/>
            <w:tcBorders>
              <w:top w:val="single" w:sz="4" w:color="D9D9D9"/>
              <w:left w:val="single" w:sz="4" w:color="D9D9D9"/>
              <w:bottom w:val="single" w:sz="4" w:color="D9D9D9"/>
              <w:right w:val="single" w:sz="4" w:color="D9D9D9"/>
            </w:tcBorders>
          </w:tcPr>
          <w:p>
            <w:pPr>
              <w:spacing w:after="100" w:before="100"/>
            </w:pPr>
            <w:r>
              <w:rPr>
                <w:b w:val="0"/>
                <w:sz w:val="18"/>
              </w:rPr>
              <w:t>id; user_id; requested_at; state; completed_at; failure_code</w:t>
            </w:r>
          </w:p>
        </w:tc>
        <w:tc>
          <w:tcPr>
            <w:tcW w:type="dxa" w:w="3960"/>
            <w:tcBorders>
              <w:top w:val="single" w:sz="4" w:color="D9D9D9"/>
              <w:left w:val="single" w:sz="4" w:color="D9D9D9"/>
              <w:bottom w:val="single" w:sz="4" w:color="D9D9D9"/>
              <w:right w:val="single" w:sz="4" w:color="D9D9D9"/>
            </w:tcBorders>
          </w:tcPr>
          <w:p>
            <w:pPr>
              <w:spacing w:after="100" w:before="100"/>
            </w:pPr>
            <w:r>
              <w:rPr>
                <w:b w:val="0"/>
                <w:sz w:val="18"/>
              </w:rPr>
              <w:t>Track deletion across active records, exports and downstream stores.</w:t>
            </w:r>
          </w:p>
        </w:tc>
      </w:tr>
    </w:tbl>
    <w:p>
      <w:r>
        <w:t>Apple HealthKit requires permission by data type and protects the decision to deny read access. The application cannot treat an empty query as evidence that the person was inactive. Prototype one supported integration before promising support for all fitness trackers. A manual check-in flow should remain available.</w:t>
      </w:r>
    </w:p>
    <w:p>
      <w:pPr>
        <w:pStyle w:val="Heading1"/>
      </w:pPr>
      <w:r>
        <w:t>Proposed retention defaults for review</w:t>
      </w:r>
    </w:p>
    <w:p>
      <w:r>
        <w:t>The durations below are initial product choices for discussion, not legal retention requirements or current system settings. A privacy reviewer and any care partner must resolve applicable obligations before a clinical deployment.</w:t>
      </w:r>
    </w:p>
    <w:tbl>
      <w:tblPr>
        <w:tblW w:type="auto" w:w="0"/>
        <w:tblLayout w:type="fixed"/>
        <w:tblLook w:firstColumn="1" w:firstRow="1" w:lastColumn="0" w:lastRow="0" w:noHBand="0" w:noVBand="1" w:val="04A0"/>
      </w:tblPr>
      <w:tblGrid>
        <w:gridCol w:w="4968"/>
        <w:gridCol w:w="4968"/>
      </w:tblGrid>
      <w:tr>
        <w:trPr>
          <w:cantSplit/>
        </w:trPr>
        <w:tc>
          <w:tcPr>
            <w:tcW w:type="dxa" w:w="3240"/>
            <w:tcBorders>
              <w:top w:val="single" w:sz="4" w:color="D9D9D9"/>
              <w:left w:val="single" w:sz="4" w:color="D9D9D9"/>
              <w:bottom w:val="single" w:sz="4" w:color="D9D9D9"/>
              <w:right w:val="single" w:sz="4" w:color="D9D9D9"/>
            </w:tcBorders>
            <w:shd w:fill="DCEAF5"/>
          </w:tcPr>
          <w:p>
            <w:pPr>
              <w:spacing w:after="100" w:before="100"/>
            </w:pPr>
            <w:r>
              <w:rPr>
                <w:b/>
                <w:sz w:val="18"/>
              </w:rPr>
              <w:t>Data class</w:t>
            </w:r>
          </w:p>
        </w:tc>
        <w:tc>
          <w:tcPr>
            <w:tcW w:type="dxa" w:w="6552"/>
            <w:tcBorders>
              <w:top w:val="single" w:sz="4" w:color="D9D9D9"/>
              <w:left w:val="single" w:sz="4" w:color="D9D9D9"/>
              <w:bottom w:val="single" w:sz="4" w:color="D9D9D9"/>
              <w:right w:val="single" w:sz="4" w:color="D9D9D9"/>
            </w:tcBorders>
            <w:shd w:fill="DCEAF5"/>
          </w:tcPr>
          <w:p>
            <w:pPr>
              <w:spacing w:after="100" w:before="100"/>
            </w:pPr>
            <w:r>
              <w:rPr>
                <w:b/>
                <w:sz w:val="18"/>
              </w:rPr>
              <w:t>Proposed starting rule</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Raw monitoring text and voice audio</w:t>
            </w:r>
          </w:p>
        </w:tc>
        <w:tc>
          <w:tcPr>
            <w:tcW w:type="dxa" w:w="6552"/>
            <w:tcBorders>
              <w:top w:val="single" w:sz="4" w:color="D9D9D9"/>
              <w:left w:val="single" w:sz="4" w:color="D9D9D9"/>
              <w:bottom w:val="single" w:sz="4" w:color="D9D9D9"/>
              <w:right w:val="single" w:sz="4" w:color="D9D9D9"/>
            </w:tcBorders>
          </w:tcPr>
          <w:p>
            <w:pPr>
              <w:spacing w:after="100" w:before="100"/>
            </w:pPr>
            <w:r>
              <w:rPr>
                <w:b w:val="0"/>
                <w:sz w:val="18"/>
              </w:rPr>
              <w:t>Do not persist; exclude from logs, queues, retries and analytics.</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Saved chat</w:t>
            </w:r>
          </w:p>
        </w:tc>
        <w:tc>
          <w:tcPr>
            <w:tcW w:type="dxa" w:w="6552"/>
            <w:tcBorders>
              <w:top w:val="single" w:sz="4" w:color="D9D9D9"/>
              <w:left w:val="single" w:sz="4" w:color="D9D9D9"/>
              <w:bottom w:val="single" w:sz="4" w:color="D9D9D9"/>
              <w:right w:val="single" w:sz="4" w:color="D9D9D9"/>
            </w:tcBorders>
          </w:tcPr>
          <w:p>
            <w:pPr>
              <w:spacing w:after="100" w:before="100"/>
            </w:pPr>
            <w:r>
              <w:rPr>
                <w:b w:val="0"/>
                <w:sz w:val="18"/>
              </w:rPr>
              <w:t>Off by default; if deliberately enabled, use a disclosed retention setting and deletion flow.</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Detection events and device summaries</w:t>
            </w:r>
          </w:p>
        </w:tc>
        <w:tc>
          <w:tcPr>
            <w:tcW w:type="dxa" w:w="6552"/>
            <w:tcBorders>
              <w:top w:val="single" w:sz="4" w:color="D9D9D9"/>
              <w:left w:val="single" w:sz="4" w:color="D9D9D9"/>
              <w:bottom w:val="single" w:sz="4" w:color="D9D9D9"/>
              <w:right w:val="single" w:sz="4" w:color="D9D9D9"/>
            </w:tcBorders>
          </w:tcPr>
          <w:p>
            <w:pPr>
              <w:spacing w:after="100" w:before="100"/>
            </w:pPr>
            <w:r>
              <w:rPr>
                <w:b w:val="0"/>
                <w:sz w:val="18"/>
              </w:rPr>
              <w:t>30 days unless a separately consented purpose requires longer.</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Unapproved report drafts</w:t>
            </w:r>
          </w:p>
        </w:tc>
        <w:tc>
          <w:tcPr>
            <w:tcW w:type="dxa" w:w="6552"/>
            <w:tcBorders>
              <w:top w:val="single" w:sz="4" w:color="D9D9D9"/>
              <w:left w:val="single" w:sz="4" w:color="D9D9D9"/>
              <w:bottom w:val="single" w:sz="4" w:color="D9D9D9"/>
              <w:right w:val="single" w:sz="4" w:color="D9D9D9"/>
            </w:tcBorders>
          </w:tcPr>
          <w:p>
            <w:pPr>
              <w:spacing w:after="100" w:before="100"/>
            </w:pPr>
            <w:r>
              <w:rPr>
                <w:b w:val="0"/>
                <w:sz w:val="18"/>
              </w:rPr>
              <w:t>Expire after 7 days; regenerate if the plan changes.</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Approved reports and check-ins</w:t>
            </w:r>
          </w:p>
        </w:tc>
        <w:tc>
          <w:tcPr>
            <w:tcW w:type="dxa" w:w="6552"/>
            <w:tcBorders>
              <w:top w:val="single" w:sz="4" w:color="D9D9D9"/>
              <w:left w:val="single" w:sz="4" w:color="D9D9D9"/>
              <w:bottom w:val="single" w:sz="4" w:color="D9D9D9"/>
              <w:right w:val="single" w:sz="4" w:color="D9D9D9"/>
            </w:tcBorders>
          </w:tcPr>
          <w:p>
            <w:pPr>
              <w:spacing w:after="100" w:before="100"/>
            </w:pPr>
            <w:r>
              <w:rPr>
                <w:b w:val="0"/>
                <w:sz w:val="18"/>
              </w:rPr>
              <w:t>90 days initially; extend only for an agreed purpose and policy.</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8"/>
              </w:rPr>
              <w:t>Security audit metadata and backups</w:t>
            </w:r>
          </w:p>
        </w:tc>
        <w:tc>
          <w:tcPr>
            <w:tcW w:type="dxa" w:w="6552"/>
            <w:tcBorders>
              <w:top w:val="single" w:sz="4" w:color="D9D9D9"/>
              <w:left w:val="single" w:sz="4" w:color="D9D9D9"/>
              <w:bottom w:val="single" w:sz="4" w:color="D9D9D9"/>
              <w:right w:val="single" w:sz="4" w:color="D9D9D9"/>
            </w:tcBorders>
          </w:tcPr>
          <w:p>
            <w:pPr>
              <w:spacing w:after="100" w:before="100"/>
            </w:pPr>
            <w:r>
              <w:rPr>
                <w:b w:val="0"/>
                <w:sz w:val="18"/>
              </w:rPr>
              <w:t>Set explicit reviewed durations; document backup expiry and deletion replay after restore.</w:t>
            </w:r>
          </w:p>
        </w:tc>
      </w:tr>
    </w:tbl>
    <w:p>
      <w:r>
        <w:t>Do not place free-text therapy notes, classifications or location queries in general product analytics. Use aggregate counters with minimum cohort sizes. Treat event labels and reports as sensitive even when they contain no raw conversation.</w:t>
      </w:r>
    </w:p>
    <w:p>
      <w:r>
        <w:br w:type="page"/>
      </w:r>
    </w:p>
    <w:p>
      <w:pPr>
        <w:pStyle w:val="Heading1"/>
      </w:pPr>
      <w:r>
        <w:t>Implementation and migration plan</w:t>
      </w:r>
    </w:p>
    <w:p>
      <w:pPr>
        <w:pStyle w:val="Heading1"/>
      </w:pPr>
      <w:r>
        <w:t>Database enforcement</w:t>
      </w:r>
    </w:p>
    <w:p>
      <w:pPr>
        <w:pStyle w:val="ListBullet"/>
      </w:pPr>
      <w:r>
        <w:t>Use authenticated server-side identity for every read and write, with row-level policies or equivalent rigorously tested authorization. Database connections must not silently bypass intended policies.</w:t>
      </w:r>
    </w:p>
    <w:p>
      <w:pPr>
        <w:pStyle w:val="ListBullet"/>
      </w:pPr>
      <w:r>
        <w:t>Use foreign keys, status constraints and unique keys for provider external IDs, daily check-ins and scheduled report jobs. Enforce that child records belong to the same user as their parent.</w:t>
      </w:r>
    </w:p>
    <w:p>
      <w:pPr>
        <w:pStyle w:val="ListBullet"/>
      </w:pPr>
      <w:r>
        <w:t>Store timestamps in UTC plus the relevant IANA timezone for local-date goals. Index user_id with occurred_at, report expiry and grant lookups.</w:t>
      </w:r>
    </w:p>
    <w:p>
      <w:pPr>
        <w:pStyle w:val="ListBullet"/>
      </w:pPr>
      <w:r>
        <w:t>Use encrypted transport, managed encryption at rest, least-privilege service roles and secrets outside source code. Restrict administrative access and record its use.</w:t>
      </w:r>
    </w:p>
    <w:p>
      <w:pPr>
        <w:pStyle w:val="Heading1"/>
      </w:pPr>
      <w:r>
        <w:t>Move from JSON without losing ownership</w:t>
      </w:r>
    </w:p>
    <w:p>
      <w:r>
        <w:t>1. Inventory the live JSON schemas and per-user file binding without collecting private contents into the review packet. Determine whether anonymous or shared files exist. Explicitly decide what happens to saved and archived chat content.</w:t>
      </w:r>
    </w:p>
    <w:p>
      <w:r>
        <w:t>2. Build versioned migrations and run them in staging. Map each source file to a verified account; quarantine any record with ambiguous ownership. Do not assign all legacy data to a default user.</w:t>
      </w:r>
    </w:p>
    <w:p>
      <w:r>
        <w:t>3. Freeze writes or use a controlled migration window. Import approved fields, compare per-user counts and checksums, and verify timezones. Keep a tightly restricted, expiring rollback copy if necessary.</w:t>
      </w:r>
    </w:p>
    <w:p>
      <w:r>
        <w:t>4. Test ownership, deletion, report sharing, grant expiry, duplication and backup restoration. Switch reads and writes only after the checks pass. Remove the old JSON write path and expire migration copies under the approved policy.</w:t>
      </w:r>
    </w:p>
    <w:p>
      <w:pPr>
        <w:pStyle w:val="Heading1"/>
      </w:pPr>
      <w:r>
        <w:t>Acceptance checks</w:t>
      </w:r>
    </w:p>
    <w:tbl>
      <w:tblPr>
        <w:tblW w:type="auto" w:w="0"/>
        <w:tblLayout w:type="fixed"/>
        <w:tblLook w:firstColumn="1" w:firstRow="1" w:lastColumn="0" w:lastRow="0" w:noHBand="0" w:noVBand="1" w:val="04A0"/>
      </w:tblPr>
      <w:tblGrid>
        <w:gridCol w:w="4968"/>
        <w:gridCol w:w="4968"/>
      </w:tblGrid>
      <w:tr>
        <w:trPr>
          <w:cantSplit/>
        </w:trPr>
        <w:tc>
          <w:tcPr>
            <w:tcW w:type="dxa" w:w="4032"/>
            <w:tcBorders>
              <w:top w:val="single" w:sz="4" w:color="D9D9D9"/>
              <w:left w:val="single" w:sz="4" w:color="D9D9D9"/>
              <w:bottom w:val="single" w:sz="4" w:color="D9D9D9"/>
              <w:right w:val="single" w:sz="4" w:color="D9D9D9"/>
            </w:tcBorders>
            <w:shd w:fill="DCEAF5"/>
          </w:tcPr>
          <w:p>
            <w:pPr>
              <w:spacing w:after="100" w:before="100"/>
            </w:pPr>
            <w:r>
              <w:rPr>
                <w:b/>
                <w:sz w:val="18"/>
              </w:rPr>
              <w:t>Scenario</w:t>
            </w:r>
          </w:p>
        </w:tc>
        <w:tc>
          <w:tcPr>
            <w:tcW w:type="dxa" w:w="5760"/>
            <w:tcBorders>
              <w:top w:val="single" w:sz="4" w:color="D9D9D9"/>
              <w:left w:val="single" w:sz="4" w:color="D9D9D9"/>
              <w:bottom w:val="single" w:sz="4" w:color="D9D9D9"/>
              <w:right w:val="single" w:sz="4" w:color="D9D9D9"/>
            </w:tcBorders>
            <w:shd w:fill="DCEAF5"/>
          </w:tcPr>
          <w:p>
            <w:pPr>
              <w:spacing w:after="100" w:before="100"/>
            </w:pPr>
            <w:r>
              <w:rPr>
                <w:b/>
                <w:sz w:val="18"/>
              </w:rPr>
              <w:t>Expected result</w:t>
            </w:r>
          </w:p>
        </w:tc>
      </w:tr>
      <w:tr>
        <w:trPr>
          <w:cantSplit/>
        </w:trPr>
        <w:tc>
          <w:tcPr>
            <w:tcW w:type="dxa" w:w="4032"/>
            <w:tcBorders>
              <w:top w:val="single" w:sz="4" w:color="D9D9D9"/>
              <w:left w:val="single" w:sz="4" w:color="D9D9D9"/>
              <w:bottom w:val="single" w:sz="4" w:color="D9D9D9"/>
              <w:right w:val="single" w:sz="4" w:color="D9D9D9"/>
            </w:tcBorders>
          </w:tcPr>
          <w:p>
            <w:pPr>
              <w:spacing w:after="100" w:before="100"/>
            </w:pPr>
            <w:r>
              <w:rPr>
                <w:b w:val="0"/>
                <w:sz w:val="18"/>
              </w:rPr>
              <w:t>Account A requests Account B records</w:t>
            </w:r>
          </w:p>
        </w:tc>
        <w:tc>
          <w:tcPr>
            <w:tcW w:type="dxa" w:w="5760"/>
            <w:tcBorders>
              <w:top w:val="single" w:sz="4" w:color="D9D9D9"/>
              <w:left w:val="single" w:sz="4" w:color="D9D9D9"/>
              <w:bottom w:val="single" w:sz="4" w:color="D9D9D9"/>
              <w:right w:val="single" w:sz="4" w:color="D9D9D9"/>
            </w:tcBorders>
          </w:tcPr>
          <w:p>
            <w:pPr>
              <w:spacing w:after="100" w:before="100"/>
            </w:pPr>
            <w:r>
              <w:rPr>
                <w:b w:val="0"/>
                <w:sz w:val="18"/>
              </w:rPr>
              <w:t>Denied without disclosing record contents.</w:t>
            </w:r>
          </w:p>
        </w:tc>
      </w:tr>
      <w:tr>
        <w:trPr>
          <w:cantSplit/>
        </w:trPr>
        <w:tc>
          <w:tcPr>
            <w:tcW w:type="dxa" w:w="4032"/>
            <w:tcBorders>
              <w:top w:val="single" w:sz="4" w:color="D9D9D9"/>
              <w:left w:val="single" w:sz="4" w:color="D9D9D9"/>
              <w:bottom w:val="single" w:sz="4" w:color="D9D9D9"/>
              <w:right w:val="single" w:sz="4" w:color="D9D9D9"/>
            </w:tcBorders>
          </w:tcPr>
          <w:p>
            <w:pPr>
              <w:spacing w:after="100" w:before="100"/>
            </w:pPr>
            <w:r>
              <w:rPr>
                <w:b w:val="0"/>
                <w:sz w:val="18"/>
              </w:rPr>
              <w:t>Revoked or expired report grant</w:t>
            </w:r>
          </w:p>
        </w:tc>
        <w:tc>
          <w:tcPr>
            <w:tcW w:type="dxa" w:w="5760"/>
            <w:tcBorders>
              <w:top w:val="single" w:sz="4" w:color="D9D9D9"/>
              <w:left w:val="single" w:sz="4" w:color="D9D9D9"/>
              <w:bottom w:val="single" w:sz="4" w:color="D9D9D9"/>
              <w:right w:val="single" w:sz="4" w:color="D9D9D9"/>
            </w:tcBorders>
          </w:tcPr>
          <w:p>
            <w:pPr>
              <w:spacing w:after="100" w:before="100"/>
            </w:pPr>
            <w:r>
              <w:rPr>
                <w:b w:val="0"/>
                <w:sz w:val="18"/>
              </w:rPr>
              <w:t>Recipient cannot fetch the report.</w:t>
            </w:r>
          </w:p>
        </w:tc>
      </w:tr>
      <w:tr>
        <w:trPr>
          <w:cantSplit/>
        </w:trPr>
        <w:tc>
          <w:tcPr>
            <w:tcW w:type="dxa" w:w="4032"/>
            <w:tcBorders>
              <w:top w:val="single" w:sz="4" w:color="D9D9D9"/>
              <w:left w:val="single" w:sz="4" w:color="D9D9D9"/>
              <w:bottom w:val="single" w:sz="4" w:color="D9D9D9"/>
              <w:right w:val="single" w:sz="4" w:color="D9D9D9"/>
            </w:tcBorders>
          </w:tcPr>
          <w:p>
            <w:pPr>
              <w:spacing w:after="100" w:before="100"/>
            </w:pPr>
            <w:r>
              <w:rPr>
                <w:b w:val="0"/>
                <w:sz w:val="18"/>
              </w:rPr>
              <w:t>Draft report job runs twice</w:t>
            </w:r>
          </w:p>
        </w:tc>
        <w:tc>
          <w:tcPr>
            <w:tcW w:type="dxa" w:w="5760"/>
            <w:tcBorders>
              <w:top w:val="single" w:sz="4" w:color="D9D9D9"/>
              <w:left w:val="single" w:sz="4" w:color="D9D9D9"/>
              <w:bottom w:val="single" w:sz="4" w:color="D9D9D9"/>
              <w:right w:val="single" w:sz="4" w:color="D9D9D9"/>
            </w:tcBorders>
          </w:tcPr>
          <w:p>
            <w:pPr>
              <w:spacing w:after="100" w:before="100"/>
            </w:pPr>
            <w:r>
              <w:rPr>
                <w:b w:val="0"/>
                <w:sz w:val="18"/>
              </w:rPr>
              <w:t>One draft for the same appointment and version.</w:t>
            </w:r>
          </w:p>
        </w:tc>
      </w:tr>
      <w:tr>
        <w:trPr>
          <w:cantSplit/>
        </w:trPr>
        <w:tc>
          <w:tcPr>
            <w:tcW w:type="dxa" w:w="4032"/>
            <w:tcBorders>
              <w:top w:val="single" w:sz="4" w:color="D9D9D9"/>
              <w:left w:val="single" w:sz="4" w:color="D9D9D9"/>
              <w:bottom w:val="single" w:sz="4" w:color="D9D9D9"/>
              <w:right w:val="single" w:sz="4" w:color="D9D9D9"/>
            </w:tcBorders>
          </w:tcPr>
          <w:p>
            <w:pPr>
              <w:spacing w:after="100" w:before="100"/>
            </w:pPr>
            <w:r>
              <w:rPr>
                <w:b w:val="0"/>
                <w:sz w:val="18"/>
              </w:rPr>
              <w:t>No wearable readings</w:t>
            </w:r>
          </w:p>
        </w:tc>
        <w:tc>
          <w:tcPr>
            <w:tcW w:type="dxa" w:w="5760"/>
            <w:tcBorders>
              <w:top w:val="single" w:sz="4" w:color="D9D9D9"/>
              <w:left w:val="single" w:sz="4" w:color="D9D9D9"/>
              <w:bottom w:val="single" w:sz="4" w:color="D9D9D9"/>
              <w:right w:val="single" w:sz="4" w:color="D9D9D9"/>
            </w:tcBorders>
          </w:tcPr>
          <w:p>
            <w:pPr>
              <w:spacing w:after="100" w:before="100"/>
            </w:pPr>
            <w:r>
              <w:rPr>
                <w:b w:val="0"/>
                <w:sz w:val="18"/>
              </w:rPr>
              <w:t>Report states insufficient data; no inferred noncompliance.</w:t>
            </w:r>
          </w:p>
        </w:tc>
      </w:tr>
      <w:tr>
        <w:trPr>
          <w:cantSplit/>
        </w:trPr>
        <w:tc>
          <w:tcPr>
            <w:tcW w:type="dxa" w:w="4032"/>
            <w:tcBorders>
              <w:top w:val="single" w:sz="4" w:color="D9D9D9"/>
              <w:left w:val="single" w:sz="4" w:color="D9D9D9"/>
              <w:bottom w:val="single" w:sz="4" w:color="D9D9D9"/>
              <w:right w:val="single" w:sz="4" w:color="D9D9D9"/>
            </w:tcBorders>
          </w:tcPr>
          <w:p>
            <w:pPr>
              <w:spacing w:after="100" w:before="100"/>
            </w:pPr>
            <w:r>
              <w:rPr>
                <w:b w:val="0"/>
                <w:sz w:val="18"/>
              </w:rPr>
              <w:t>Synthetic text canary submitted</w:t>
            </w:r>
          </w:p>
        </w:tc>
        <w:tc>
          <w:tcPr>
            <w:tcW w:type="dxa" w:w="5760"/>
            <w:tcBorders>
              <w:top w:val="single" w:sz="4" w:color="D9D9D9"/>
              <w:left w:val="single" w:sz="4" w:color="D9D9D9"/>
              <w:bottom w:val="single" w:sz="4" w:color="D9D9D9"/>
              <w:right w:val="single" w:sz="4" w:color="D9D9D9"/>
            </w:tcBorders>
          </w:tcPr>
          <w:p>
            <w:pPr>
              <w:spacing w:after="100" w:before="100"/>
            </w:pPr>
            <w:r>
              <w:rPr>
                <w:b w:val="0"/>
                <w:sz w:val="18"/>
              </w:rPr>
              <w:t>Absent from persistent monitoring storage and logs. Saved chat tested separately.</w:t>
            </w:r>
          </w:p>
        </w:tc>
      </w:tr>
      <w:tr>
        <w:trPr>
          <w:cantSplit/>
        </w:trPr>
        <w:tc>
          <w:tcPr>
            <w:tcW w:type="dxa" w:w="4032"/>
            <w:tcBorders>
              <w:top w:val="single" w:sz="4" w:color="D9D9D9"/>
              <w:left w:val="single" w:sz="4" w:color="D9D9D9"/>
              <w:bottom w:val="single" w:sz="4" w:color="D9D9D9"/>
              <w:right w:val="single" w:sz="4" w:color="D9D9D9"/>
            </w:tcBorders>
          </w:tcPr>
          <w:p>
            <w:pPr>
              <w:spacing w:after="100" w:before="100"/>
            </w:pPr>
            <w:r>
              <w:rPr>
                <w:b w:val="0"/>
                <w:sz w:val="18"/>
              </w:rPr>
              <w:t>Deletion followed by backup restore</w:t>
            </w:r>
          </w:p>
        </w:tc>
        <w:tc>
          <w:tcPr>
            <w:tcW w:type="dxa" w:w="5760"/>
            <w:tcBorders>
              <w:top w:val="single" w:sz="4" w:color="D9D9D9"/>
              <w:left w:val="single" w:sz="4" w:color="D9D9D9"/>
              <w:bottom w:val="single" w:sz="4" w:color="D9D9D9"/>
              <w:right w:val="single" w:sz="4" w:color="D9D9D9"/>
            </w:tcBorders>
          </w:tcPr>
          <w:p>
            <w:pPr>
              <w:spacing w:after="100" w:before="100"/>
            </w:pPr>
            <w:r>
              <w:rPr>
                <w:b w:val="0"/>
                <w:sz w:val="18"/>
              </w:rPr>
              <w:t>Deletion records are replayed before restored data becomes accessible.</w:t>
            </w:r>
          </w:p>
        </w:tc>
      </w:tr>
    </w:tbl>
    <w:p>
      <w:pPr>
        <w:pStyle w:val="Heading1"/>
      </w:pPr>
      <w:r>
        <w:t>Permissions and operating decisions</w:t>
      </w:r>
    </w:p>
    <w:p>
      <w:r>
        <w:t>Apply the following proposed access matrix at the API and database boundaries. Deny access when the grant, ownership or purpose is missing. Test both direct record requests and list endpoints.</w:t>
      </w:r>
    </w:p>
    <w:tbl>
      <w:tblPr>
        <w:tblW w:type="auto" w:w="0"/>
        <w:tblLayout w:type="fixed"/>
        <w:tblLook w:firstColumn="1" w:firstRow="1" w:lastColumn="0" w:lastRow="0" w:noHBand="0" w:noVBand="1" w:val="04A0"/>
      </w:tblPr>
      <w:tblGrid>
        <w:gridCol w:w="3312"/>
        <w:gridCol w:w="3312"/>
        <w:gridCol w:w="3312"/>
      </w:tblGrid>
      <w:tr>
        <w:tc>
          <w:tcPr>
            <w:tcW w:type="dxa" w:w="3312"/>
            <w:tcBorders>
              <w:top w:val="single" w:sz="4" w:color="D9D9D9"/>
              <w:left w:val="single" w:sz="4" w:color="D9D9D9"/>
              <w:bottom w:val="single" w:sz="4" w:color="D9D9D9"/>
              <w:right w:val="single" w:sz="4" w:color="D9D9D9"/>
            </w:tcBorders>
            <w:shd w:fill="DCEAF5"/>
          </w:tcPr>
          <w:p>
            <w:pPr>
              <w:spacing w:before="100" w:after="100"/>
            </w:pPr>
            <w:r>
              <w:rPr>
                <w:b/>
                <w:sz w:val="18"/>
              </w:rPr>
              <w:t>Record</w:t>
            </w:r>
          </w:p>
        </w:tc>
        <w:tc>
          <w:tcPr>
            <w:tcW w:type="dxa" w:w="3312"/>
            <w:tcBorders>
              <w:top w:val="single" w:sz="4" w:color="D9D9D9"/>
              <w:left w:val="single" w:sz="4" w:color="D9D9D9"/>
              <w:bottom w:val="single" w:sz="4" w:color="D9D9D9"/>
              <w:right w:val="single" w:sz="4" w:color="D9D9D9"/>
            </w:tcBorders>
            <w:shd w:fill="DCEAF5"/>
          </w:tcPr>
          <w:p>
            <w:pPr>
              <w:spacing w:before="100" w:after="100"/>
            </w:pPr>
            <w:r>
              <w:rPr>
                <w:b/>
                <w:sz w:val="18"/>
              </w:rPr>
              <w:t>User</w:t>
            </w:r>
          </w:p>
        </w:tc>
        <w:tc>
          <w:tcPr>
            <w:tcW w:type="dxa" w:w="3312"/>
            <w:tcBorders>
              <w:top w:val="single" w:sz="4" w:color="D9D9D9"/>
              <w:left w:val="single" w:sz="4" w:color="D9D9D9"/>
              <w:bottom w:val="single" w:sz="4" w:color="D9D9D9"/>
              <w:right w:val="single" w:sz="4" w:color="D9D9D9"/>
            </w:tcBorders>
            <w:shd w:fill="DCEAF5"/>
          </w:tcPr>
          <w:p>
            <w:pPr>
              <w:spacing w:before="100" w:after="100"/>
            </w:pPr>
            <w:r>
              <w:rPr>
                <w:b/>
                <w:sz w:val="18"/>
              </w:rPr>
              <w:t>Therapist or administrator</w:t>
            </w:r>
          </w:p>
        </w:tc>
      </w:tr>
      <w:tr>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Detection history</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Own records only</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No default access</w:t>
            </w:r>
          </w:p>
        </w:tc>
      </w:tr>
      <w:tr>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Care plan</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Own agreed plan</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Only an explicitly granted care relationship</w:t>
            </w:r>
          </w:p>
        </w:tc>
      </w:tr>
      <w:tr>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Report draft</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Owner reviews and edits</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No access before approval</w:t>
            </w:r>
          </w:p>
        </w:tc>
      </w:tr>
      <w:tr>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Approved report</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Owner can view and revoke</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Verified recipient with active, scoped grant</w:t>
            </w:r>
          </w:p>
        </w:tc>
      </w:tr>
      <w:tr>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Wearable observations</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Own permitted data</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No automatic access through report sharing</w:t>
            </w:r>
          </w:p>
        </w:tc>
      </w:tr>
      <w:tr>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Resource catalog</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Public reviewed entries</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Authorized editors can maintain listings</w:t>
            </w:r>
          </w:p>
        </w:tc>
      </w:tr>
      <w:tr>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Audit metadata</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Relevant user-facing history</w:t>
            </w:r>
          </w:p>
        </w:tc>
        <w:tc>
          <w:tcPr>
            <w:tcW w:type="dxa" w:w="3312"/>
            <w:tcBorders>
              <w:top w:val="single" w:sz="4" w:color="D9D9D9"/>
              <w:left w:val="single" w:sz="4" w:color="D9D9D9"/>
              <w:bottom w:val="single" w:sz="4" w:color="D9D9D9"/>
              <w:right w:val="single" w:sz="4" w:color="D9D9D9"/>
            </w:tcBorders>
          </w:tcPr>
          <w:p>
            <w:pPr>
              <w:spacing w:before="100" w:after="100"/>
            </w:pPr>
            <w:r>
              <w:rPr>
                <w:b w:val="0"/>
                <w:sz w:val="18"/>
              </w:rPr>
              <w:t>Restricted operational role for a defined purpose</w:t>
            </w:r>
          </w:p>
        </w:tc>
      </w:tr>
    </w:tbl>
    <w:p>
      <w:pPr>
        <w:pStyle w:val="Heading2"/>
      </w:pPr>
      <w:r>
        <w:t>Resolve before the first migration</w:t>
      </w:r>
    </w:p>
    <w:p>
      <w:r>
        <w:t>Assign an owner for failed deletion jobs and expired grants. Define who verifies therapist accounts and how access is removed when a care relationship ends. Decide whether notifications contain only a link or also sensitive content; a link-only notification is the proposed default. Establish how users correct self-reports without rewriting historical device observations.</w:t>
      </w:r>
    </w:p>
    <w:p>
      <w:pPr>
        <w:pStyle w:val="Heading1"/>
      </w:pPr>
      <w:r>
        <w:t>Sources and open decisions</w:t>
      </w:r>
    </w:p>
    <w:p>
      <w:r>
        <w:t>Sources reviewed October 12, 2026: github.com/silenthelp-dotcom/silenthelp/blob/main/store.py and /app.py; console.groq.com/docs/your-data; developer.apple.com/documentation/healthkit/authorizing-access-to-health-data. Current deployment and provider settings were not verified.</w:t>
      </w:r>
    </w:p>
    <w:p>
      <w:r>
        <w:t>Before implementation, confirm the authentication system, live deployment commit, age and organization model, saved-chat choice, initial wearable platform, reviewer-approved retention periods and the exact repository paths for Detection and Dialed.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SilentHelp  |  Internal planning draft  |  12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