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1200b1f74e40c6" /><Relationship Type="http://schemas.openxmlformats.org/package/2006/relationships/metadata/core-properties" Target="/package/services/metadata/core-properties/08a3405989d14adf9d58c3423026c15c.psmdcp" Id="R99f888e0e5b74bb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CV Addendum: Enterprise Talent Intelligence Framework</w:t>
      </w:r>
    </w:p>
    <w:p>
      <w:pPr>
        <w:pStyle w:val="heading1"/>
      </w:pPr>
      <w:bookmarkStart w:name="cv_addendum_enterprise_talent_intelligence_framework" w:id="1"/>
      <w:r>
        <w:t>CV Addendum: Enterprise Talent Intelligence Framework</w:t>
      </w:r>
      <w:bookmarkEnd w:id="1"/>
    </w:p>
    <w:p>
      <w:pPr>
        <w:pStyle w:val="heading2"/>
      </w:pPr>
      <w:bookmarkStart w:name="project_showcase" w:id="2"/>
      <w:r>
        <w:t>Project Showcase</w:t>
      </w:r>
      <w:bookmarkEnd w:id="2"/>
    </w:p>
    <w:p>
      <w:r>
        <w:t xml:space="preserve">Designed and implemented a </w:t>
      </w:r>
      <w:r>
        <w:rPr>
          <w:b/>
        </w:rPr>
        <w:t>19-agent Career Branding Talent Intelligence System</w:t>
      </w:r>
      <w:r>
        <w:t xml:space="preserve"> that transforms personal career branding into an enterprise-ready framework. Benchmarked against </w:t>
      </w:r>
      <w:r>
        <w:rPr>
          <w:b/>
        </w:rPr>
        <w:t>SHRM</w:t>
      </w:r>
      <w:r>
        <w:t xml:space="preserve"> and </w:t>
      </w:r>
      <w:r>
        <w:rPr>
          <w:b/>
        </w:rPr>
        <w:t>Gallup</w:t>
      </w:r>
      <w:r>
        <w:t xml:space="preserve"> standards, the system demonstrates measurable ROI in talent acquisition, recruiter engagement, and enterprise workforce alignment.</w:t>
      </w:r>
    </w:p>
    <w:p>
      <w:pPr>
        <w:pStyle w:val="heading2"/>
      </w:pPr>
      <w:bookmarkStart w:name="key_contributions" w:id="3"/>
      <w:r>
        <w:t>Key Contributions</w:t>
      </w:r>
      <w:bookmarkEnd w:id="3"/>
    </w:p>
    <w:p>
      <w:pPr>
        <w:pStyle w:val="ListParagraph"/>
        <w:numPr>
          <w:ilvl w:val="0"/>
          <w:numId w:val="1"/>
        </w:numPr>
      </w:pPr>
      <w:r>
        <w:rPr>
          <w:b/>
        </w:rPr>
        <w:t>Cost-Per-Hire Savings</w:t>
      </w:r>
      <w:r>
        <w:t>: Achieved direct savings of $44k-$88k SGD per executive placement by bypassing agency fees.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Time-to-Fill Velocity</w:t>
      </w:r>
      <w:r>
        <w:t>: Reduced hiring cycle by 12-16 days compared to SHRM benchmark (42-45 days).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Quality-of-Fit &amp; Retention</w:t>
      </w:r>
      <w:r>
        <w:t>: Eliminated mis-hire risk by pre-validating competencies (GenAI, ERP, Agile/Scrum) through agent-driven workflows.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Talent Engagement ROI</w:t>
      </w:r>
      <w:r>
        <w:t>: Enforced recruiter SLA compliance (&lt;4h response) and LinkedIn visibility, aligning with Gallup’s +23% profitability and +18% productivity benchmarks.</w:t>
      </w:r>
    </w:p>
    <w:p>
      <w:pPr>
        <w:pStyle w:val="heading2"/>
      </w:pPr>
      <w:bookmarkStart w:name="system_architecture" w:id="4"/>
      <w:r>
        <w:t>System Architecture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</w:rPr>
        <w:t>Email Management Agents (7)</w:t>
      </w:r>
      <w:r>
        <w:t>: Daily and weekly recruiter pipeline routines.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Recruiter Reply Agents (4)</w:t>
      </w:r>
      <w:r>
        <w:t>: Templates for thank-you, interest confirmation, decline, and call requests.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LinkedIn Engagement Agents (5)</w:t>
      </w:r>
      <w:r>
        <w:t>: Structured posts for recruiter appreciation, thought leadership, networking updates, weekly wrap, and career reflection.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Analytics &amp; Scoring Agents (3)</w:t>
      </w:r>
      <w:r>
        <w:t>: Career Analytics Board, Momentum Scoring Model, and Heatmap Diagnostics with enterprise ROI metrics.</w:t>
      </w:r>
    </w:p>
    <w:p>
      <w:pPr>
        <w:pStyle w:val="heading2"/>
      </w:pPr>
      <w:bookmarkStart w:name="enterprise_benchmarking_alignment" w:id="5"/>
      <w:r>
        <w:t>Enterprise Benchmarking Alignment</w:t>
      </w:r>
      <w:bookmarkEnd w:id="5"/>
    </w:p>
    <w:p>
      <w:pPr>
        <w:pStyle w:val="ListParagraph"/>
        <w:numPr>
          <w:ilvl w:val="0"/>
          <w:numId w:val="3"/>
        </w:numPr>
      </w:pPr>
      <w:r>
        <w:t xml:space="preserve">Benchmarked against </w:t>
      </w:r>
      <w:r>
        <w:rPr>
          <w:b/>
        </w:rPr>
        <w:t>SHRM</w:t>
      </w:r>
      <w:r>
        <w:t xml:space="preserve"> (Cost-Per-Hire, Time-to-Fill, Retention) and </w:t>
      </w:r>
      <w:r>
        <w:rPr>
          <w:b/>
        </w:rPr>
        <w:t>Gallup</w:t>
      </w:r>
      <w:r>
        <w:t xml:space="preserve"> (Engagement ROI).</w:t>
      </w:r>
    </w:p>
    <w:p>
      <w:pPr>
        <w:pStyle w:val="ListParagraph"/>
        <w:numPr>
          <w:ilvl w:val="0"/>
          <w:numId w:val="3"/>
        </w:numPr>
      </w:pPr>
      <w:r>
        <w:t>Validated enterprise impact: cost savings, velocity acceleration, quality alignment, and profitability growth.</w:t>
      </w:r>
    </w:p>
    <w:p>
      <w:pPr>
        <w:pStyle w:val="heading2"/>
      </w:pPr>
      <w:bookmarkStart w:name="strategic_positioning" w:id="6"/>
      <w:r>
        <w:t>Strategic Positioning</w:t>
      </w:r>
      <w:bookmarkEnd w:id="6"/>
    </w:p>
    <w:p>
      <w:r>
        <w:t>This project demonstrates ability to:</w:t>
      </w:r>
    </w:p>
    <w:p>
      <w:pPr>
        <w:pStyle w:val="ListParagraph"/>
        <w:numPr>
          <w:ilvl w:val="0"/>
          <w:numId w:val="4"/>
        </w:numPr>
      </w:pPr>
      <w:r>
        <w:t xml:space="preserve">Architect </w:t>
      </w:r>
      <w:r>
        <w:rPr>
          <w:b/>
        </w:rPr>
        <w:t>agentic workflows</w:t>
      </w:r>
      <w:r>
        <w:t xml:space="preserve"> for enterprise AI adoption.</w:t>
      </w:r>
    </w:p>
    <w:p>
      <w:pPr>
        <w:pStyle w:val="ListParagraph"/>
        <w:numPr>
          <w:ilvl w:val="0"/>
          <w:numId w:val="4"/>
        </w:numPr>
      </w:pPr>
      <w:r>
        <w:t xml:space="preserve">Translate personal branding into </w:t>
      </w:r>
      <w:r>
        <w:rPr>
          <w:b/>
        </w:rPr>
        <w:t>enterprise-grade talent intelligence</w:t>
      </w:r>
      <w:r>
        <w:t>.</w:t>
      </w:r>
    </w:p>
    <w:p>
      <w:pPr>
        <w:pStyle w:val="ListParagraph"/>
        <w:numPr>
          <w:ilvl w:val="0"/>
          <w:numId w:val="4"/>
        </w:numPr>
      </w:pPr>
      <w:r>
        <w:t xml:space="preserve">Bridge operational execution with </w:t>
      </w:r>
      <w:r>
        <w:rPr>
          <w:b/>
        </w:rPr>
        <w:t>C-suite ROI language</w:t>
      </w:r>
      <w:r>
        <w:t>.</w:t>
      </w:r>
    </w:p>
    <w:p>
      <w:pPr>
        <w:pStyle w:val="heading2"/>
      </w:pPr>
      <w:bookmarkStart w:name="outcome" w:id="7"/>
      <w:r>
        <w:t>Outcome</w:t>
      </w:r>
      <w:bookmarkEnd w:id="7"/>
    </w:p>
    <w:p>
      <w:r>
        <w:t xml:space="preserve">Positions Sam Leong as a </w:t>
      </w:r>
      <w:r>
        <w:rPr>
          <w:b/>
        </w:rPr>
        <w:t>Resilient Global Digital Orchestrator</w:t>
      </w:r>
      <w:r>
        <w:t xml:space="preserve">, capable of modernizing enterprise supply chains and talent pipelines through </w:t>
      </w:r>
      <w:r>
        <w:rPr>
          <w:b/>
        </w:rPr>
        <w:t>data-driven, automated, and ROI-focused frameworks</w:t>
      </w:r>
      <w:r>
        <w:t>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9aacd36d728e4bcc" /><Relationship Type="http://schemas.openxmlformats.org/officeDocument/2006/relationships/settings" Target="/word/settings.xml" Id="Rd879362edbce4cfb" /><Relationship Type="http://schemas.openxmlformats.org/officeDocument/2006/relationships/styles" Target="/word/styles.xml" Id="Ra79efed93a6f4a1d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