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60" w:after="6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8"/>
          <w:szCs w:val="28"/>
        </w:rPr>
        <w:t>Sam Leong</w:t>
      </w:r>
      <w:r>
        <w:rPr>
          <w:rFonts w:ascii="Arial" w:hAnsi="Arial"/>
          <w:b/>
          <w:bCs/>
          <w:sz w:val="22"/>
          <w:szCs w:val="22"/>
        </w:rPr>
        <w:br/>
      </w:r>
      <w:r>
        <w:rPr>
          <w:rFonts w:ascii="Arial" w:hAnsi="Arial"/>
          <w:b w:val="false"/>
          <w:bCs w:val="false"/>
          <w:sz w:val="22"/>
          <w:szCs w:val="22"/>
        </w:rPr>
        <w:t>Digital Innovation &amp; Transformation Leader | Product Management | AI, GenAI &amp; Agentic AI Adoption | Supply Chain &amp; Fleet Operations SME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Singapore Citizen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Contact</w:t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Singapore | </w:t>
      </w:r>
      <w:r>
        <w:rPr>
          <w:rFonts w:ascii="Arial" w:hAnsi="Arial"/>
          <w:sz w:val="22"/>
          <w:szCs w:val="22"/>
        </w:rPr>
        <w:drawing>
          <wp:inline distT="0" distB="0" distL="0" distR="0">
            <wp:extent cx="133350" cy="133350"/>
            <wp:effectExtent l="0" t="0" r="0" b="0"/>
            <wp:docPr id="1" name="Emoji 1f4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moji 1f4de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rial" w:hAnsi="Arial"/>
          <w:sz w:val="22"/>
          <w:szCs w:val="22"/>
        </w:rPr>
        <w:t xml:space="preserve"> 8917 2828</w:t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silentious@outlook.com</w:t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linkedin.com/in/samleong2828</w:t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Languages:</w:t>
      </w:r>
      <w:r>
        <w:rPr>
          <w:rFonts w:ascii="Arial" w:hAnsi="Arial"/>
          <w:sz w:val="22"/>
          <w:szCs w:val="22"/>
        </w:rPr>
        <w:t xml:space="preserve"> English (Full Professional), Chinese (Native), Hainanese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0" w:name="executive_profile"/>
      <w:r>
        <w:rPr>
          <w:rFonts w:ascii="Arial" w:hAnsi="Arial"/>
          <w:b/>
          <w:bCs/>
          <w:sz w:val="22"/>
          <w:szCs w:val="22"/>
        </w:rPr>
        <w:t>Executive Profile</w:t>
      </w:r>
      <w:bookmarkEnd w:id="0"/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Leader with 30+ years spanning procurement, operations, fleet management, and global sales. Proven ability to embed governance frameworks, mentor successors, and drive AI-driven transformation across industries.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1" w:name="career_objective"/>
      <w:r>
        <w:rPr>
          <w:rFonts w:ascii="Arial" w:hAnsi="Arial"/>
          <w:b/>
          <w:bCs/>
          <w:sz w:val="22"/>
          <w:szCs w:val="22"/>
        </w:rPr>
        <w:t>Career Objective</w:t>
      </w:r>
      <w:bookmarkEnd w:id="1"/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To leverage expertise in AI-driven digital transformation, supply chain operations, and product management to deliver enterprise resilience, global scalability, and succession-ready leadership impact.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2" w:name="core_skills"/>
      <w:r>
        <w:rPr>
          <w:rFonts w:ascii="Arial" w:hAnsi="Arial"/>
          <w:b/>
          <w:bCs/>
          <w:sz w:val="22"/>
          <w:szCs w:val="22"/>
        </w:rPr>
        <w:t>Core Skills</w:t>
      </w:r>
      <w:bookmarkEnd w:id="2"/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Digital Transformation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Procurement &amp; supply chain optimization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ERP/Dynamics 365 integration (Oracle, Azure DevOps)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Governance frameworks for resilience &amp; continuity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Delivered enterprise-wide digital change and procurement resilience.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Leadership &amp; Agility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Global sales &amp; business development leadership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Agile transformation &amp; Scrum Master (PSM II)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Change management &amp; succession mentoring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Scaled teams, drove transformation, and embedded governance.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AI &amp; Anthropic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AI/GenAI adoption &amp; product lifecycle management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Agentic systems, Claude API, model context protocols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KPI ownership &amp; analytics for operational excellence</w:t>
        <w:br/>
      </w:r>
      <w:r>
        <w:rPr>
          <w:rFonts w:ascii="Arial" w:hAnsi="Arial"/>
          <w:b/>
          <w:sz w:val="22"/>
          <w:szCs w:val="22"/>
        </w:rPr>
        <w:t>Impact:</w:t>
      </w:r>
      <w:r>
        <w:rPr>
          <w:rFonts w:ascii="Arial" w:hAnsi="Arial"/>
          <w:sz w:val="22"/>
          <w:szCs w:val="22"/>
        </w:rPr>
        <w:t xml:space="preserve"> Advanced fluency in AI adoption and next-generation digital frameworks.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3" w:name="leadership_experience"/>
      <w:r>
        <w:rPr>
          <w:rFonts w:ascii="Arial" w:hAnsi="Arial"/>
          <w:b/>
          <w:bCs/>
          <w:sz w:val="22"/>
          <w:szCs w:val="22"/>
        </w:rPr>
        <w:t>Leadership Experience</w:t>
      </w:r>
      <w:bookmarkEnd w:id="3"/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Senior Business Development Director - Yu Luo Trading Co. Ltd (2018-2021)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Secured multimillion-dollar contracts through regional pipeline expansion.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Mentored teams, embedding governance and succession readiness.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Director of Business Development - Helios Marine (2016-2018)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procurement and vendor strategies across marine operations.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transformation initiatives improving resilience and efficiency.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Head of Global Sales - Global Link Automobile (2006-2016)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Grew strategic accounts across international markets.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Built and led global sales teams, driving sustained revenue growth.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General Manager / Managing Director - Hua Yang Investment Group (1995-2000)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Oversaw enterprise operations and strategic investments.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Established leadership continuity through mentoring successors.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bookmarkStart w:id="4" w:name="page_2_professional_experience"/>
      <w:r>
        <w:rPr>
          <w:rFonts w:ascii="Arial" w:hAnsi="Arial"/>
          <w:b/>
          <w:bCs/>
          <w:sz w:val="22"/>
          <w:szCs w:val="22"/>
        </w:rPr>
        <w:t>P</w:t>
      </w:r>
      <w:r>
        <w:rPr>
          <w:rFonts w:ascii="Arial" w:hAnsi="Arial"/>
          <w:b/>
          <w:bCs/>
          <w:sz w:val="22"/>
          <w:szCs w:val="22"/>
        </w:rPr>
        <w:t>rofessional Experience</w:t>
      </w:r>
      <w:bookmarkEnd w:id="4"/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5" w:name="ncs_group_career_block_sep_2021_present"/>
      <w:r>
        <w:rPr>
          <w:rFonts w:ascii="Arial" w:hAnsi="Arial"/>
          <w:b/>
          <w:bCs/>
          <w:sz w:val="22"/>
          <w:szCs w:val="22"/>
        </w:rPr>
        <w:t xml:space="preserve">NCS Group - Career </w:t>
      </w:r>
      <w:r>
        <w:rPr>
          <w:rFonts w:ascii="Arial" w:hAnsi="Arial"/>
          <w:b/>
          <w:bCs/>
          <w:sz w:val="22"/>
          <w:szCs w:val="22"/>
        </w:rPr>
        <w:t>Switch</w:t>
      </w:r>
      <w:r>
        <w:rPr>
          <w:rFonts w:ascii="Arial" w:hAnsi="Arial"/>
          <w:b/>
          <w:bCs/>
          <w:sz w:val="22"/>
          <w:szCs w:val="22"/>
        </w:rPr>
        <w:t xml:space="preserve"> (Sep 2021-Present)</w:t>
      </w:r>
      <w:bookmarkEnd w:id="5"/>
    </w:p>
    <w:p>
      <w:pPr>
        <w:pStyle w:val="Normal"/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AI Analyst, Product Management (Sep 2021-Present</w:t>
      </w:r>
      <w:r>
        <w:rPr>
          <w:rFonts w:ascii="Arial" w:hAnsi="Arial"/>
          <w:b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Designed AI/ML models to optimize procurement and logistics.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Owned KPIs and aligned product outcomes with strategic goals.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Fleet Management Systems Specialist (SME &amp; QA) -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MINDEF/RSAF/</w:t>
      </w:r>
      <w:r>
        <w:rPr>
          <w:rFonts w:ascii="Arial" w:hAnsi="Arial"/>
          <w:b/>
          <w:sz w:val="22"/>
          <w:szCs w:val="22"/>
        </w:rPr>
        <w:t xml:space="preserve">NCS </w:t>
      </w:r>
      <w:r>
        <w:rPr>
          <w:rFonts w:ascii="Arial" w:hAnsi="Arial"/>
          <w:b/>
          <w:sz w:val="22"/>
          <w:szCs w:val="22"/>
        </w:rPr>
        <w:t>(</w:t>
      </w:r>
      <w:r>
        <w:rPr>
          <w:rFonts w:ascii="Arial" w:hAnsi="Arial"/>
          <w:b/>
          <w:sz w:val="22"/>
          <w:szCs w:val="22"/>
        </w:rPr>
        <w:t>Oct 2024-Present)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Led QA frameworks for AI adoption projects.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Strengthened governance standards and resilience agents.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 xml:space="preserve">Fleet Management Systems Specialist (SME &amp; QA Lead) </w:t>
      </w:r>
    </w:p>
    <w:p>
      <w:pPr>
        <w:pStyle w:val="Normal"/>
        <w:spacing w:lineRule="auto" w:line="240"/>
        <w:rPr>
          <w:rFonts w:ascii="Arial" w:hAnsi="Arial"/>
          <w:b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Digital Bridgestone/NCS (Jun 2022-Sep 2024)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Directed fleet operations transformation with predictive analytics.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Delivered measurable savings through AI-driven optimization.</w:t>
      </w:r>
      <w:bookmarkStart w:id="6" w:name="education"/>
      <w:r>
        <w:rPr>
          <w:rFonts w:ascii="Arial" w:hAnsi="Arial"/>
          <w:b/>
          <w:bCs/>
          <w:sz w:val="22"/>
          <w:szCs w:val="22"/>
        </w:rPr>
        <w:t>Education</w:t>
      </w:r>
      <w:bookmarkEnd w:id="6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Advanced Diploma, Business Analyst - NCS Group (2021-2023)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Diploma, Infocomm Technology (SAP MM Certification) - NICF (2020)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Upcoming: Digital Supply Chain - Singapore Institute of Technology (Sep-Nov 2026)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Certificates</w:t>
      </w:r>
    </w:p>
    <w:p>
      <w:pPr>
        <w:pStyle w:val="Normal"/>
        <w:spacing w:lineRule="auto" w:line="240"/>
        <w:rPr>
          <w:rFonts w:ascii="Arial" w:hAnsi="Arial"/>
          <w:b/>
          <w:bCs/>
          <w:sz w:val="22"/>
          <w:szCs w:val="22"/>
        </w:rPr>
      </w:pPr>
      <w:bookmarkStart w:id="7" w:name="digital_transformation"/>
      <w:r>
        <w:rPr>
          <w:rFonts w:ascii="Arial" w:hAnsi="Arial"/>
          <w:b/>
          <w:bCs/>
          <w:sz w:val="22"/>
          <w:szCs w:val="22"/>
        </w:rPr>
        <w:t>Digital Transformation</w:t>
      </w:r>
      <w:bookmarkEnd w:id="7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Digitally Transform with Dynamics 365 -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Enabling Digital Transformation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NCS Responsible Procurement - Driving Change for the Future - Skillsoft, Jul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Proven ability to embed enterprise-wide digital change and procurement resilience.</w:t>
      </w:r>
    </w:p>
    <w:p>
      <w:pPr>
        <w:pStyle w:val="ListParagraph"/>
        <w:numPr>
          <w:ilvl w:val="0"/>
          <w:numId w:val="0"/>
        </w:numPr>
        <w:spacing w:lineRule="auto" w:line="240"/>
        <w:ind w:hanging="0" w:lef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left="0"/>
        <w:rPr>
          <w:rFonts w:ascii="Arial" w:hAnsi="Arial"/>
          <w:b/>
          <w:bCs/>
          <w:sz w:val="22"/>
          <w:szCs w:val="22"/>
        </w:rPr>
      </w:pPr>
      <w:bookmarkStart w:id="8" w:name="leadership_agility"/>
      <w:r>
        <w:rPr>
          <w:rFonts w:ascii="Arial" w:hAnsi="Arial"/>
          <w:b/>
          <w:bCs/>
          <w:sz w:val="22"/>
          <w:szCs w:val="22"/>
        </w:rPr>
        <w:t>Leadership &amp; Agility</w:t>
      </w:r>
      <w:bookmarkEnd w:id="8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Professional Scrum MasterTM II (PSM II)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Leadercamp On-Demand Agile and Agility - Skillsoft, Jul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SGLF 2021 - Managing Change in the Digital World - Skillsoft, Jul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Demonstrated leadership in agile transformation, change management, and team resilience.</w:t>
      </w:r>
    </w:p>
    <w:p>
      <w:pPr>
        <w:pStyle w:val="ListParagraph"/>
        <w:numPr>
          <w:ilvl w:val="0"/>
          <w:numId w:val="0"/>
        </w:numPr>
        <w:spacing w:lineRule="auto" w:line="240"/>
        <w:ind w:hanging="0" w:lef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ListParagraph"/>
        <w:numPr>
          <w:ilvl w:val="0"/>
          <w:numId w:val="0"/>
        </w:numPr>
        <w:spacing w:lineRule="auto" w:line="240"/>
        <w:ind w:hanging="0" w:left="0"/>
        <w:rPr>
          <w:rFonts w:ascii="Arial" w:hAnsi="Arial"/>
          <w:b/>
          <w:bCs/>
          <w:sz w:val="22"/>
          <w:szCs w:val="22"/>
        </w:rPr>
      </w:pPr>
      <w:bookmarkStart w:id="9" w:name="ai_anthropic_credentials"/>
      <w:r>
        <w:rPr>
          <w:rFonts w:ascii="Arial" w:hAnsi="Arial"/>
          <w:b/>
          <w:bCs/>
          <w:sz w:val="22"/>
          <w:szCs w:val="22"/>
        </w:rPr>
        <w:t>AI &amp; Anthropic Credentials</w:t>
      </w:r>
      <w:bookmarkEnd w:id="9"/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Building with the Claude API - Anthropic, Apr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AI Fluency Framework &amp; Foundations - Anthropic, Apr 2026</w:t>
      </w:r>
    </w:p>
    <w:p>
      <w:pPr>
        <w:pStyle w:val="ListParagraph"/>
        <w:numPr>
          <w:ilvl w:val="0"/>
          <w:numId w:val="1"/>
        </w:numPr>
        <w:spacing w:lineRule="auto" w:line="240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Model Context Protocol: Advanced Topics - Anthropic, Apr 2026</w:t>
        <w:br/>
      </w:r>
      <w:r>
        <w:rPr>
          <w:rFonts w:ascii="Arial" w:hAnsi="Arial"/>
          <w:b/>
          <w:sz w:val="22"/>
          <w:szCs w:val="22"/>
        </w:rPr>
        <w:t>Value:</w:t>
      </w:r>
      <w:r>
        <w:rPr>
          <w:rFonts w:ascii="Arial" w:hAnsi="Arial"/>
          <w:sz w:val="22"/>
          <w:szCs w:val="22"/>
        </w:rPr>
        <w:t xml:space="preserve"> Advanced fluency in AI adoption, agentic systems, and next-generation digital frameworks.</w:t>
      </w:r>
    </w:p>
    <w:p>
      <w:pPr>
        <w:pStyle w:val="ListParagraph"/>
        <w:numPr>
          <w:ilvl w:val="0"/>
          <w:numId w:val="0"/>
        </w:numPr>
        <w:spacing w:lineRule="auto" w:line="240"/>
        <w:ind w:hanging="0" w:left="0"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Case Study — Career Command Suite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t>Background</w:t>
      </w:r>
    </w:p>
    <w:p>
      <w:pPr>
        <w:pStyle w:val="BodyText"/>
        <w:spacing w:lineRule="auto" w:line="240" w:before="60" w:after="60"/>
        <w:ind w:hanging="0" w:left="0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The Career Command Suite was conceived as a structured operating system to manage professional branding, recruiter trust, ATS alignment, and cyber resilience. With a 20</w:t>
        <w:noBreakHyphen/>
        <w:t>year horizon leading to retirement, the initiative aimed to transform career management into a succession</w:t>
        <w:noBreakHyphen/>
        <w:t>ready framework that compounds outcomes year after year.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Objective</w:t>
      </w:r>
    </w:p>
    <w:p>
      <w:pPr>
        <w:pStyle w:val="BodyText"/>
        <w:spacing w:lineRule="auto" w:line="240" w:before="60" w:after="60"/>
        <w:ind w:hanging="0" w:left="0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To establish a long</w:t>
        <w:noBreakHyphen/>
        <w:t>term succession roadmap that evolves from tactical career management into enterprise leadership continuity, culminating in a generational legacy.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Strategic Pathway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Foundation:</w:t>
      </w:r>
      <w:r>
        <w:rPr>
          <w:rFonts w:ascii="Arial" w:hAnsi="Arial"/>
          <w:sz w:val="22"/>
          <w:szCs w:val="22"/>
        </w:rPr>
        <w:t xml:space="preserve"> Initial build of CV portfolios, ATS trackers, certifications, and recruiter alignment. This stage created the baseline for credibility and trust.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Crown:</w:t>
      </w:r>
      <w:r>
        <w:rPr>
          <w:rFonts w:ascii="Arial" w:hAnsi="Arial"/>
          <w:sz w:val="22"/>
          <w:szCs w:val="22"/>
        </w:rPr>
        <w:t xml:space="preserve"> Positioning as an AI</w:t>
        <w:noBreakHyphen/>
        <w:t>Driven Digital Transformation SME, securing recognition and recruiter confidence.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Global Expansion:</w:t>
      </w:r>
      <w:r>
        <w:rPr>
          <w:rFonts w:ascii="Arial" w:hAnsi="Arial"/>
          <w:sz w:val="22"/>
          <w:szCs w:val="22"/>
        </w:rPr>
        <w:t xml:space="preserve"> Scaling recruiter trust internationally, embedding cyber</w:t>
        <w:noBreakHyphen/>
        <w:t>agents, and elevating into thought leadership.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Enterprise Governance:</w:t>
      </w:r>
      <w:r>
        <w:rPr>
          <w:rFonts w:ascii="Arial" w:hAnsi="Arial"/>
          <w:sz w:val="22"/>
          <w:szCs w:val="22"/>
        </w:rPr>
        <w:t xml:space="preserve"> Consolidating governance frameworks, mentoring successors, validating global trust, and reinforcing enterprise branding.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szCs w:val="24"/>
        </w:rPr>
      </w:pPr>
      <w:r>
        <w:rPr>
          <w:rStyle w:val="Strong"/>
          <w:rFonts w:ascii="Arial" w:hAnsi="Arial"/>
          <w:sz w:val="22"/>
          <w:szCs w:val="22"/>
        </w:rPr>
        <w:t>Generational Continuity:</w:t>
      </w:r>
      <w:r>
        <w:rPr>
          <w:rFonts w:ascii="Arial" w:hAnsi="Arial"/>
          <w:sz w:val="22"/>
          <w:szCs w:val="22"/>
        </w:rPr>
        <w:t xml:space="preserve"> Documenting legacy, embedding continuity planning, handing over systems, and ensuring succession readiness at retirement.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Key Outcomes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Recruiter trust reinforced annually and globally.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CVs and branding remain future</w:t>
        <w:noBreakHyphen/>
        <w:t>ready with continuous integration of certifications and ATS keyword shifts.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QA maturity cycle becomes self</w:t>
        <w:noBreakHyphen/>
        <w:t>sustaining, compounding recruiter outcomes year by year.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Succession readiness strengthened through consistent recruiter engagement and leadership positioning.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Enterprise positioning as an AI</w:t>
        <w:noBreakHyphen/>
        <w:t>Driven Digital Transformation SME validated at scale.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Industry thought leadership embedded into governance and legacy frameworks.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240" w:before="60" w:after="60"/>
        <w:ind w:hanging="283" w:left="709" w:right="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Generational continuity ensured at retirement, with successors mentored and systems embedded for enduring impact.</w:t>
      </w:r>
    </w:p>
    <w:p>
      <w:pPr>
        <w:pStyle w:val="Heading2"/>
        <w:spacing w:lineRule="auto" w:line="240" w:before="60" w:after="60"/>
        <w:contextualSpacing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Conclusion</w:t>
      </w:r>
    </w:p>
    <w:p>
      <w:pPr>
        <w:pStyle w:val="BodyText"/>
        <w:spacing w:lineRule="auto" w:line="240" w:before="60" w:after="60"/>
        <w:ind w:hanging="0" w:left="0" w:right="0"/>
        <w:contextualSpacing/>
        <w:rPr>
          <w:szCs w:val="24"/>
        </w:rPr>
      </w:pPr>
      <w:r>
        <w:rPr>
          <w:rFonts w:ascii="Arial" w:hAnsi="Arial"/>
          <w:sz w:val="22"/>
          <w:szCs w:val="22"/>
        </w:rPr>
        <w:t xml:space="preserve">This case study demonstrates how the Career Command Suite transforms career management into a </w:t>
      </w:r>
      <w:r>
        <w:rPr>
          <w:rStyle w:val="Strong"/>
          <w:rFonts w:ascii="Arial" w:hAnsi="Arial"/>
          <w:sz w:val="22"/>
          <w:szCs w:val="22"/>
        </w:rPr>
        <w:t>succession</w:t>
        <w:noBreakHyphen/>
        <w:t>ready operating system</w:t>
      </w:r>
      <w:r>
        <w:rPr>
          <w:rFonts w:ascii="Arial" w:hAnsi="Arial"/>
          <w:sz w:val="22"/>
          <w:szCs w:val="22"/>
        </w:rPr>
        <w:t xml:space="preserve">. By following the pathway of </w:t>
      </w:r>
      <w:r>
        <w:rPr>
          <w:rStyle w:val="Strong"/>
          <w:rFonts w:ascii="Arial" w:hAnsi="Arial"/>
          <w:sz w:val="22"/>
          <w:szCs w:val="22"/>
        </w:rPr>
        <w:t>Foundation → Crown → Global Expansion → Enterprise Governance → Generational Continuity</w:t>
      </w:r>
      <w:r>
        <w:rPr>
          <w:rFonts w:ascii="Arial" w:hAnsi="Arial"/>
          <w:sz w:val="22"/>
          <w:szCs w:val="22"/>
        </w:rPr>
        <w:t xml:space="preserve">, the project ensures that by retirement, the career leaves behind not just achievements but a </w:t>
      </w:r>
      <w:r>
        <w:rPr>
          <w:rStyle w:val="Strong"/>
          <w:rFonts w:ascii="Arial" w:hAnsi="Arial"/>
          <w:sz w:val="22"/>
          <w:szCs w:val="22"/>
        </w:rPr>
        <w:t>living legacy of leadership, resilience, and transformation</w:t>
      </w:r>
      <w:r>
        <w:rPr>
          <w:rFonts w:ascii="Arial" w:hAnsi="Arial"/>
          <w:sz w:val="22"/>
          <w:szCs w:val="22"/>
        </w:rPr>
        <w:t>.</w:t>
      </w:r>
    </w:p>
    <w:sectPr>
      <w:footerReference w:type="even" r:id="rId3"/>
      <w:footerReference w:type="first" r:id="rId4"/>
      <w:type w:val="nextPage"/>
      <w:pgSz w:w="12240" w:h="15840"/>
      <w:pgMar w:left="1440" w:right="1440" w:gutter="0" w:header="0" w:top="1440" w:footer="0" w:bottom="5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Songti SC" w:cs="Arial Unicode MS"/>
        <w:sz w:val="24"/>
        <w:lang w:val="en-SG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360" w:before="60" w:after="60"/>
      <w:jc w:val="left"/>
    </w:pPr>
    <w:rPr>
      <w:rFonts w:ascii="Arial" w:hAnsi="Arial" w:eastAsia="Songti SC" w:cs="Arial Unicode MS"/>
      <w:color w:val="auto"/>
      <w:kern w:val="0"/>
      <w:sz w:val="24"/>
      <w:szCs w:val="20"/>
      <w:lang w:val="en-SG" w:eastAsia="zh-CN" w:bidi="hi-IN"/>
    </w:rPr>
  </w:style>
  <w:style w:type="paragraph" w:styleId="Heading1">
    <w:name w:val="heading 1"/>
    <w:basedOn w:val="Normal"/>
    <w:qFormat/>
    <w:pPr>
      <w:spacing w:before="360" w:after="60"/>
    </w:pPr>
    <w:rPr>
      <w:b/>
      <w:sz w:val="28"/>
    </w:rPr>
  </w:style>
  <w:style w:type="paragraph" w:styleId="Heading2">
    <w:name w:val="heading 2"/>
    <w:basedOn w:val="Normal"/>
    <w:qFormat/>
    <w:pPr>
      <w:spacing w:before="360" w:after="60"/>
    </w:pPr>
    <w:rPr>
      <w:b/>
      <w:sz w:val="24"/>
    </w:rPr>
  </w:style>
  <w:style w:type="paragraph" w:styleId="Heading3">
    <w:name w:val="heading 3"/>
    <w:basedOn w:val="Normal"/>
    <w:qFormat/>
    <w:pPr>
      <w:spacing w:before="360" w:after="60"/>
    </w:pPr>
    <w:rPr>
      <w:b/>
      <w:sz w:val="24"/>
    </w:rPr>
  </w:style>
  <w:style w:type="character" w:styleId="Code" w:customStyle="1">
    <w:name w:val="Code"/>
    <w:qFormat/>
    <w:rPr>
      <w:rFonts w:ascii="Consolas" w:hAnsi="Consolas"/>
      <w:shd w:fill="E1E2E4" w:val="clear"/>
    </w:rPr>
  </w:style>
  <w:style w:type="character" w:styleId="Hyperlink">
    <w:name w:val="Hyperlink"/>
    <w:rPr>
      <w:color w:val="0563C1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qFormat/>
    <w:pPr>
      <w:spacing w:before="60" w:after="60"/>
      <w:ind w:left="360"/>
      <w:contextualSpacing/>
    </w:pPr>
    <w:rPr/>
  </w:style>
  <w:style w:type="paragraph" w:styleId="Title">
    <w:name w:val="Title"/>
    <w:basedOn w:val="Normal"/>
    <w:qFormat/>
    <w:pPr>
      <w:spacing w:before="240" w:after="240"/>
      <w:jc w:val="center"/>
    </w:pPr>
    <w:rPr>
      <w:b/>
      <w:sz w:val="3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table" w:styleId="CodeBlock">
    <w:name w:val="Code Block"/>
    <w:qFormat/>
    <w:pPr>
      <w:spacing w:line="240" w:lineRule="auto"/>
    </w:pPr>
    <w:rPr>
      <w:sz w:val="20"/>
    </w:rPr>
    <w:tcPr>
      <w:tcMar>
        <w:top w:w="60" w:type="dxa"/>
        <w:left w:w="150" w:type="dxa"/>
        <w:bottom w:w="60" w:type="dxa"/>
        <w:right w:w="150" w:type="dxa"/>
      </w:tcMar>
      <w:shd w:val="clear" w:color="auto" w:fill="E1E2E4"/>
    </w:tcPr>
  </w:style>
  <w:style w:type="table" w:styleId="TableGrid">
    <w:name w:val="Table Grid"/>
    <w:qFormat/>
    <w:rPr>
      <w:sz w:val="20"/>
    </w:rPr>
    <w:tblPr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1Doc/1.5.0.$MacOSX_AARCH64 LibreOffice_project/f18819df7036044a2e6bdd6066c92aabef81c661</Application>
  <AppVersion>15.0000</AppVersion>
  <Pages>3</Pages>
  <Words>864</Words>
  <Characters>5650</Characters>
  <CharactersWithSpaces>6378</CharactersWithSpaces>
  <Paragraphs>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2026-07-18T13:47:38Z</dcterms:created>
  <dc:creator>Microsoft Copilot</dc:creator>
  <dc:description/>
  <dc:language>en-SG</dc:language>
  <cp:lastModifiedBy/>
  <dcterms:modified xsi:type="dcterms:W3CDTF">2026-07-18T22:43:43Z</dcterms:modified>
  <cp:revision>2</cp:revision>
  <dc:subject/>
  <dc:title>Recruiter-Optimized CV — Sam Leong</dc:title>
</cp:coreProperties>
</file>