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288" w:before="0" w:after="321"/>
        <w:ind w:left="0" w:right="0" w:hanging="0"/>
        <w:jc w:val="left"/>
        <w:rPr>
          <w:b/>
          <w:b/>
          <w:bCs/>
          <w:sz w:val="21"/>
          <w:szCs w:val="21"/>
        </w:rPr>
      </w:pPr>
      <w:r>
        <w:rPr>
          <w:rFonts w:eastAsia="Times-Roman" w:cs="Times-Roman" w:ascii="Arial" w:hAnsi="Arial"/>
          <w:b/>
          <w:bCs/>
          <w:color w:val="000000"/>
          <w:spacing w:val="0"/>
          <w:sz w:val="21"/>
          <w:szCs w:val="21"/>
        </w:rPr>
        <w:t>Sam Leong — Director / Senior Manager, Business Development AEMEC, APAC</w:t>
      </w:r>
    </w:p>
    <w:p>
      <w:pPr>
        <w:pStyle w:val="TextBody"/>
        <w:spacing w:before="0" w:after="283"/>
        <w:rPr>
          <w:b/>
          <w:b/>
          <w:bCs/>
          <w:sz w:val="21"/>
          <w:szCs w:val="21"/>
        </w:rPr>
      </w:pPr>
      <w:r>
        <w:rPr/>
        <w:t>Automobility &amp; APAC Regional Business Development Leader</w:t>
      </w:r>
    </w:p>
    <w:p>
      <w:pPr>
        <w:pStyle w:val="TextBody"/>
        <w:spacing w:before="0" w:after="283"/>
        <w:rPr>
          <w:b/>
          <w:b/>
          <w:bCs/>
          <w:sz w:val="21"/>
          <w:szCs w:val="21"/>
        </w:rPr>
      </w:pPr>
      <w:r>
        <w:rPr/>
        <w:t xml:space="preserve">📌 </w:t>
      </w:r>
      <w:r>
        <w:rPr/>
        <w:t>Contact</w:t>
        <w:br/>
        <w:t>Blk 18 Jalan Sultan #16166, Singapore 190018</w:t>
        <w:br/>
        <w:t>Mobile: 8917 2828 | Email: silentious@outlook.com</w:t>
        <w:br/>
        <w:t xml:space="preserve">LinkedIn: </w:t>
      </w:r>
      <w:hyperlink r:id="rId2">
        <w:r>
          <w:rPr>
            <w:rStyle w:val="InternetLink"/>
          </w:rPr>
          <w:t>linkedin.com/in/samleong2828</w:t>
        </w:r>
      </w:hyperlink>
      <w:r>
        <w:rPr/>
        <w:br/>
        <w:t>Languages: Chinese (Native), English (Full Professional), Hainanese</w:t>
      </w:r>
    </w:p>
    <w:p>
      <w:pPr>
        <w:pStyle w:val="TextBody"/>
        <w:spacing w:before="0" w:after="283"/>
        <w:rPr>
          <w:b/>
          <w:b/>
          <w:bCs/>
          <w:sz w:val="21"/>
          <w:szCs w:val="21"/>
        </w:rPr>
      </w:pPr>
      <w:r>
        <w:rPr/>
        <w:t xml:space="preserve">🎯 </w:t>
      </w:r>
      <w:r>
        <w:rPr/>
        <w:t>Career Objective</w:t>
        <w:br/>
        <w:t>Director / Senior Manager, Business Development with 31 years of experience in procurement, operations, fleet management, and global sales. Proven expertise in APAC regional strategy, RFQ leadership, account growth, and Automobility sector development. Seeking to drive DHL Supply Chain’s mission by delivering customer-centric solutions, expanding multi-country accounts, and embedding sectoral strategy across Engineering, Manufacturing, Energy &amp; Chemicals.</w:t>
      </w:r>
    </w:p>
    <w:p>
      <w:pPr>
        <w:pStyle w:val="TextBody"/>
        <w:spacing w:before="0" w:after="283"/>
        <w:rPr>
          <w:b/>
          <w:b/>
          <w:bCs/>
          <w:sz w:val="21"/>
          <w:szCs w:val="21"/>
        </w:rPr>
      </w:pPr>
      <w:r>
        <w:rPr/>
        <w:t xml:space="preserve">🔑 </w:t>
      </w:r>
      <w:r>
        <w:rPr/>
        <w:t>Key Skills</w:t>
      </w:r>
    </w:p>
    <w:p>
      <w:pPr>
        <w:pStyle w:val="TextBody"/>
        <w:numPr>
          <w:ilvl w:val="0"/>
          <w:numId w:val="1"/>
        </w:numPr>
        <w:tabs>
          <w:tab w:val="clear" w:pos="720"/>
          <w:tab w:val="left" w:pos="0" w:leader="none"/>
        </w:tabs>
        <w:spacing w:before="0" w:after="283"/>
        <w:ind w:left="709" w:hanging="283"/>
        <w:rPr>
          <w:b/>
          <w:b/>
          <w:bCs/>
          <w:sz w:val="21"/>
          <w:szCs w:val="21"/>
        </w:rPr>
      </w:pPr>
      <w:r>
        <w:rPr/>
        <w:t>APAC regional business development &amp; account strategy</w:t>
      </w:r>
    </w:p>
    <w:p>
      <w:pPr>
        <w:pStyle w:val="TextBody"/>
        <w:numPr>
          <w:ilvl w:val="0"/>
          <w:numId w:val="1"/>
        </w:numPr>
        <w:tabs>
          <w:tab w:val="clear" w:pos="720"/>
          <w:tab w:val="left" w:pos="0" w:leader="none"/>
        </w:tabs>
        <w:spacing w:before="0" w:after="283"/>
        <w:ind w:left="709" w:hanging="283"/>
        <w:rPr>
          <w:b/>
          <w:b/>
          <w:bCs/>
          <w:sz w:val="21"/>
          <w:szCs w:val="21"/>
        </w:rPr>
      </w:pPr>
      <w:r>
        <w:rPr/>
        <w:t>RFQ leadership &amp; win-plan development</w:t>
      </w:r>
    </w:p>
    <w:p>
      <w:pPr>
        <w:pStyle w:val="TextBody"/>
        <w:numPr>
          <w:ilvl w:val="0"/>
          <w:numId w:val="1"/>
        </w:numPr>
        <w:tabs>
          <w:tab w:val="clear" w:pos="720"/>
          <w:tab w:val="left" w:pos="0" w:leader="none"/>
        </w:tabs>
        <w:spacing w:before="0" w:after="283"/>
        <w:ind w:left="709" w:hanging="283"/>
        <w:rPr>
          <w:b/>
          <w:b/>
          <w:bCs/>
          <w:sz w:val="21"/>
          <w:szCs w:val="21"/>
        </w:rPr>
      </w:pPr>
      <w:r>
        <w:rPr/>
        <w:t>Automobility sector expertise (Engineering, Manufacturing, Energy &amp; Chemicals)</w:t>
      </w:r>
    </w:p>
    <w:p>
      <w:pPr>
        <w:pStyle w:val="TextBody"/>
        <w:numPr>
          <w:ilvl w:val="0"/>
          <w:numId w:val="1"/>
        </w:numPr>
        <w:tabs>
          <w:tab w:val="clear" w:pos="720"/>
          <w:tab w:val="left" w:pos="0" w:leader="none"/>
        </w:tabs>
        <w:spacing w:before="0" w:after="283"/>
        <w:ind w:left="709" w:hanging="283"/>
        <w:rPr>
          <w:b/>
          <w:b/>
          <w:bCs/>
          <w:sz w:val="21"/>
          <w:szCs w:val="21"/>
        </w:rPr>
      </w:pPr>
      <w:r>
        <w:rPr/>
        <w:t>Procurement &amp; vendor management</w:t>
      </w:r>
    </w:p>
    <w:p>
      <w:pPr>
        <w:pStyle w:val="TextBody"/>
        <w:numPr>
          <w:ilvl w:val="0"/>
          <w:numId w:val="1"/>
        </w:numPr>
        <w:tabs>
          <w:tab w:val="clear" w:pos="720"/>
          <w:tab w:val="left" w:pos="0" w:leader="none"/>
        </w:tabs>
        <w:spacing w:before="0" w:after="283"/>
        <w:ind w:left="709" w:hanging="283"/>
        <w:rPr>
          <w:b/>
          <w:b/>
          <w:bCs/>
          <w:sz w:val="21"/>
          <w:szCs w:val="21"/>
        </w:rPr>
      </w:pPr>
      <w:r>
        <w:rPr/>
        <w:t>Solution design &amp; customer-centric value propositions</w:t>
      </w:r>
    </w:p>
    <w:p>
      <w:pPr>
        <w:pStyle w:val="TextBody"/>
        <w:numPr>
          <w:ilvl w:val="0"/>
          <w:numId w:val="1"/>
        </w:numPr>
        <w:tabs>
          <w:tab w:val="clear" w:pos="720"/>
          <w:tab w:val="left" w:pos="0" w:leader="none"/>
        </w:tabs>
        <w:spacing w:before="0" w:after="283"/>
        <w:ind w:left="709" w:hanging="283"/>
        <w:rPr>
          <w:b/>
          <w:b/>
          <w:bCs/>
          <w:sz w:val="21"/>
          <w:szCs w:val="21"/>
        </w:rPr>
      </w:pPr>
      <w:r>
        <w:rPr/>
        <w:t>Stakeholder engagement &amp; coach network building</w:t>
      </w:r>
    </w:p>
    <w:p>
      <w:pPr>
        <w:pStyle w:val="TextBody"/>
        <w:numPr>
          <w:ilvl w:val="0"/>
          <w:numId w:val="1"/>
        </w:numPr>
        <w:tabs>
          <w:tab w:val="clear" w:pos="720"/>
          <w:tab w:val="left" w:pos="0" w:leader="none"/>
        </w:tabs>
        <w:spacing w:before="0" w:after="283"/>
        <w:ind w:left="709" w:hanging="283"/>
        <w:rPr>
          <w:b/>
          <w:b/>
          <w:bCs/>
          <w:sz w:val="21"/>
          <w:szCs w:val="21"/>
        </w:rPr>
      </w:pPr>
      <w:r>
        <w:rPr/>
        <w:t>KPI governance &amp; sales pipeline management</w:t>
      </w:r>
    </w:p>
    <w:p>
      <w:pPr>
        <w:pStyle w:val="TextBody"/>
        <w:numPr>
          <w:ilvl w:val="0"/>
          <w:numId w:val="1"/>
        </w:numPr>
        <w:tabs>
          <w:tab w:val="clear" w:pos="720"/>
          <w:tab w:val="left" w:pos="0" w:leader="none"/>
        </w:tabs>
        <w:spacing w:before="0" w:after="283"/>
        <w:ind w:left="709" w:hanging="283"/>
        <w:rPr>
          <w:b/>
          <w:b/>
          <w:bCs/>
          <w:sz w:val="21"/>
          <w:szCs w:val="21"/>
        </w:rPr>
      </w:pPr>
      <w:r>
        <w:rPr/>
        <w:t>Contract negotiation &amp; deal closure</w:t>
      </w:r>
    </w:p>
    <w:p>
      <w:pPr>
        <w:pStyle w:val="TextBody"/>
        <w:numPr>
          <w:ilvl w:val="0"/>
          <w:numId w:val="1"/>
        </w:numPr>
        <w:tabs>
          <w:tab w:val="clear" w:pos="720"/>
          <w:tab w:val="left" w:pos="0" w:leader="none"/>
        </w:tabs>
        <w:spacing w:before="0" w:after="283"/>
        <w:ind w:left="709" w:hanging="283"/>
        <w:rPr>
          <w:b/>
          <w:b/>
          <w:bCs/>
          <w:sz w:val="21"/>
          <w:szCs w:val="21"/>
        </w:rPr>
      </w:pPr>
      <w:r>
        <w:rPr/>
        <w:t>Cross-functional collaboration (HR, IT, Finance, Legal)</w:t>
      </w:r>
    </w:p>
    <w:p>
      <w:pPr>
        <w:pStyle w:val="TextBody"/>
        <w:numPr>
          <w:ilvl w:val="0"/>
          <w:numId w:val="1"/>
        </w:numPr>
        <w:tabs>
          <w:tab w:val="clear" w:pos="720"/>
          <w:tab w:val="left" w:pos="0" w:leader="none"/>
        </w:tabs>
        <w:spacing w:before="0" w:after="283"/>
        <w:ind w:left="709" w:hanging="283"/>
        <w:rPr>
          <w:b/>
          <w:b/>
          <w:bCs/>
          <w:sz w:val="21"/>
          <w:szCs w:val="21"/>
        </w:rPr>
      </w:pPr>
      <w:r>
        <w:rPr/>
        <w:t>Change management &amp; team mentoring</w:t>
      </w:r>
    </w:p>
    <w:p>
      <w:pPr>
        <w:pStyle w:val="TextBody"/>
        <w:spacing w:before="0" w:after="283"/>
        <w:rPr>
          <w:b/>
          <w:b/>
          <w:bCs/>
          <w:sz w:val="21"/>
          <w:szCs w:val="21"/>
        </w:rPr>
      </w:pPr>
      <w:r>
        <w:rPr/>
        <w:t xml:space="preserve">📈 </w:t>
      </w:r>
      <w:r>
        <w:rPr/>
        <w:t>Professional Experience</w:t>
        <w:br/>
      </w:r>
      <w:r>
        <w:rPr>
          <w:rStyle w:val="StrongEmphasis"/>
        </w:rPr>
        <w:t>NCS Group (Singapore) | Sep 2021 – Present</w:t>
      </w:r>
      <w:r>
        <w:rPr/>
        <w:br/>
        <w:t>Senior Product Management Analyst / AI Analyst</w:t>
      </w:r>
    </w:p>
    <w:p>
      <w:pPr>
        <w:pStyle w:val="TextBody"/>
        <w:numPr>
          <w:ilvl w:val="0"/>
          <w:numId w:val="2"/>
        </w:numPr>
        <w:tabs>
          <w:tab w:val="clear" w:pos="720"/>
          <w:tab w:val="left" w:pos="0" w:leader="none"/>
        </w:tabs>
        <w:spacing w:before="0" w:after="283"/>
        <w:ind w:left="709" w:hanging="283"/>
        <w:rPr>
          <w:b/>
          <w:b/>
          <w:bCs/>
          <w:sz w:val="21"/>
          <w:szCs w:val="21"/>
        </w:rPr>
      </w:pPr>
      <w:r>
        <w:rPr/>
        <w:t>Partnered with government agencies and industry stakeholders to co-develop data-exchange solutions ensuring interoperability and measurable value.</w:t>
      </w:r>
    </w:p>
    <w:p>
      <w:pPr>
        <w:pStyle w:val="TextBody"/>
        <w:numPr>
          <w:ilvl w:val="0"/>
          <w:numId w:val="2"/>
        </w:numPr>
        <w:tabs>
          <w:tab w:val="clear" w:pos="720"/>
          <w:tab w:val="left" w:pos="0" w:leader="none"/>
        </w:tabs>
        <w:spacing w:before="0" w:after="283"/>
        <w:ind w:left="709" w:hanging="283"/>
        <w:rPr>
          <w:b/>
          <w:b/>
          <w:bCs/>
          <w:sz w:val="21"/>
          <w:szCs w:val="21"/>
        </w:rPr>
      </w:pPr>
      <w:r>
        <w:rPr/>
        <w:t xml:space="preserve">Managed customer accounts, driving </w:t>
      </w:r>
      <w:r>
        <w:rPr>
          <w:rStyle w:val="StrongEmphasis"/>
        </w:rPr>
        <w:t>25% adoption growth</w:t>
      </w:r>
      <w:r>
        <w:rPr/>
        <w:t xml:space="preserve"> and improving satisfaction scores by </w:t>
      </w:r>
      <w:r>
        <w:rPr>
          <w:rStyle w:val="StrongEmphasis"/>
        </w:rPr>
        <w:t>30%</w:t>
      </w:r>
      <w:r>
        <w:rPr/>
        <w:t>.</w:t>
      </w:r>
    </w:p>
    <w:p>
      <w:pPr>
        <w:pStyle w:val="TextBody"/>
        <w:numPr>
          <w:ilvl w:val="0"/>
          <w:numId w:val="2"/>
        </w:numPr>
        <w:tabs>
          <w:tab w:val="clear" w:pos="720"/>
          <w:tab w:val="left" w:pos="0" w:leader="none"/>
        </w:tabs>
        <w:spacing w:before="0" w:after="283"/>
        <w:ind w:left="709" w:hanging="283"/>
        <w:rPr>
          <w:b/>
          <w:b/>
          <w:bCs/>
          <w:sz w:val="21"/>
          <w:szCs w:val="21"/>
        </w:rPr>
      </w:pPr>
      <w:r>
        <w:rPr/>
        <w:t xml:space="preserve">Planned and executed UAT/live production deployments, achieving </w:t>
      </w:r>
      <w:r>
        <w:rPr>
          <w:rStyle w:val="StrongEmphasis"/>
        </w:rPr>
        <w:t>100% on-time delivery</w:t>
      </w:r>
      <w:r>
        <w:rPr/>
        <w:t xml:space="preserve"> for customer onboarding.</w:t>
      </w:r>
    </w:p>
    <w:p>
      <w:pPr>
        <w:pStyle w:val="TextBody"/>
        <w:numPr>
          <w:ilvl w:val="0"/>
          <w:numId w:val="2"/>
        </w:numPr>
        <w:tabs>
          <w:tab w:val="clear" w:pos="720"/>
          <w:tab w:val="left" w:pos="0" w:leader="none"/>
        </w:tabs>
        <w:spacing w:before="0" w:after="283"/>
        <w:ind w:left="709" w:hanging="283"/>
        <w:rPr>
          <w:b/>
          <w:b/>
          <w:bCs/>
          <w:sz w:val="21"/>
          <w:szCs w:val="21"/>
        </w:rPr>
      </w:pPr>
      <w:r>
        <w:rPr/>
        <w:t>Implemented API-driven interoperability frameworks enabling seamless data flows across supply chain partners.</w:t>
      </w:r>
    </w:p>
    <w:p>
      <w:pPr>
        <w:pStyle w:val="TextBody"/>
        <w:numPr>
          <w:ilvl w:val="0"/>
          <w:numId w:val="2"/>
        </w:numPr>
        <w:tabs>
          <w:tab w:val="clear" w:pos="720"/>
          <w:tab w:val="left" w:pos="0" w:leader="none"/>
        </w:tabs>
        <w:spacing w:before="0" w:after="283"/>
        <w:ind w:left="709" w:hanging="283"/>
        <w:rPr>
          <w:b/>
          <w:b/>
          <w:bCs/>
          <w:sz w:val="21"/>
          <w:szCs w:val="21"/>
        </w:rPr>
      </w:pPr>
      <w:r>
        <w:rPr/>
        <w:t>Delivered strategic KPIs ensuring both financial and non-financial targets were met.</w:t>
      </w:r>
    </w:p>
    <w:p>
      <w:pPr>
        <w:pStyle w:val="TextBody"/>
        <w:spacing w:before="0" w:after="283"/>
        <w:rPr>
          <w:b/>
          <w:b/>
          <w:bCs/>
          <w:sz w:val="21"/>
          <w:szCs w:val="21"/>
        </w:rPr>
      </w:pPr>
      <w:r>
        <w:rPr>
          <w:rStyle w:val="StrongEmphasis"/>
        </w:rPr>
        <w:t>Bridgestone &amp; MINDEF | 4 years</w:t>
      </w:r>
      <w:r>
        <w:rPr/>
        <w:br/>
        <w:t>Fleet Management Systems Specialist</w:t>
      </w:r>
    </w:p>
    <w:p>
      <w:pPr>
        <w:pStyle w:val="TextBody"/>
        <w:numPr>
          <w:ilvl w:val="0"/>
          <w:numId w:val="3"/>
        </w:numPr>
        <w:tabs>
          <w:tab w:val="clear" w:pos="720"/>
          <w:tab w:val="left" w:pos="0" w:leader="none"/>
        </w:tabs>
        <w:spacing w:before="0" w:after="283"/>
        <w:ind w:left="709" w:hanging="283"/>
        <w:rPr>
          <w:b/>
          <w:b/>
          <w:bCs/>
          <w:sz w:val="21"/>
          <w:szCs w:val="21"/>
        </w:rPr>
      </w:pPr>
      <w:r>
        <w:rPr/>
        <w:t xml:space="preserve">Coordinated cross-sector adoption of fleet systems, reducing downtime by </w:t>
      </w:r>
      <w:r>
        <w:rPr>
          <w:rStyle w:val="StrongEmphasis"/>
        </w:rPr>
        <w:t>15%</w:t>
      </w:r>
      <w:r>
        <w:rPr/>
        <w:t xml:space="preserve"> and boosting asset utilisation.</w:t>
      </w:r>
    </w:p>
    <w:p>
      <w:pPr>
        <w:pStyle w:val="TextBody"/>
        <w:numPr>
          <w:ilvl w:val="0"/>
          <w:numId w:val="3"/>
        </w:numPr>
        <w:tabs>
          <w:tab w:val="clear" w:pos="720"/>
          <w:tab w:val="left" w:pos="0" w:leader="none"/>
        </w:tabs>
        <w:spacing w:before="0" w:after="283"/>
        <w:ind w:left="709" w:hanging="283"/>
        <w:rPr>
          <w:b/>
          <w:b/>
          <w:bCs/>
          <w:sz w:val="21"/>
          <w:szCs w:val="21"/>
        </w:rPr>
      </w:pPr>
      <w:r>
        <w:rPr/>
        <w:t>Delivered predictive maintenance solutions integrated with data-driven platforms, enhancing transparency and compliance.</w:t>
      </w:r>
    </w:p>
    <w:p>
      <w:pPr>
        <w:pStyle w:val="TextBody"/>
        <w:numPr>
          <w:ilvl w:val="0"/>
          <w:numId w:val="3"/>
        </w:numPr>
        <w:tabs>
          <w:tab w:val="clear" w:pos="720"/>
          <w:tab w:val="left" w:pos="0" w:leader="none"/>
        </w:tabs>
        <w:spacing w:before="0" w:after="283"/>
        <w:ind w:left="709" w:hanging="283"/>
        <w:rPr>
          <w:b/>
          <w:b/>
          <w:bCs/>
          <w:sz w:val="21"/>
          <w:szCs w:val="21"/>
        </w:rPr>
      </w:pPr>
      <w:r>
        <w:rPr/>
        <w:t>Acted as trusted advisor to stakeholders, aligning digital solutions with operational priorities.</w:t>
      </w:r>
    </w:p>
    <w:p>
      <w:pPr>
        <w:pStyle w:val="TextBody"/>
        <w:spacing w:before="0" w:after="283"/>
        <w:rPr>
          <w:b/>
          <w:b/>
          <w:bCs/>
          <w:sz w:val="21"/>
          <w:szCs w:val="21"/>
        </w:rPr>
      </w:pPr>
      <w:r>
        <w:rPr>
          <w:rStyle w:val="StrongEmphasis"/>
        </w:rPr>
        <w:t>Global Sales &amp; Business Development SME | 26 years</w:t>
      </w:r>
    </w:p>
    <w:p>
      <w:pPr>
        <w:pStyle w:val="TextBody"/>
        <w:numPr>
          <w:ilvl w:val="0"/>
          <w:numId w:val="4"/>
        </w:numPr>
        <w:tabs>
          <w:tab w:val="clear" w:pos="720"/>
          <w:tab w:val="left" w:pos="0" w:leader="none"/>
        </w:tabs>
        <w:spacing w:before="0" w:after="283"/>
        <w:ind w:left="709" w:hanging="283"/>
        <w:rPr>
          <w:b/>
          <w:b/>
          <w:bCs/>
          <w:sz w:val="21"/>
          <w:szCs w:val="21"/>
        </w:rPr>
      </w:pPr>
      <w:r>
        <w:rPr/>
        <w:t xml:space="preserve">Negotiated multimillion-dollar contracts worth </w:t>
      </w:r>
      <w:r>
        <w:rPr>
          <w:rStyle w:val="StrongEmphasis"/>
        </w:rPr>
        <w:t>SGD 50M+</w:t>
      </w:r>
      <w:r>
        <w:rPr/>
        <w:t>, driving enterprise growth across Asia and Europe.</w:t>
      </w:r>
    </w:p>
    <w:p>
      <w:pPr>
        <w:pStyle w:val="TextBody"/>
        <w:numPr>
          <w:ilvl w:val="0"/>
          <w:numId w:val="4"/>
        </w:numPr>
        <w:tabs>
          <w:tab w:val="clear" w:pos="720"/>
          <w:tab w:val="left" w:pos="0" w:leader="none"/>
        </w:tabs>
        <w:spacing w:before="0" w:after="283"/>
        <w:ind w:left="709" w:hanging="283"/>
        <w:rPr>
          <w:b/>
          <w:b/>
          <w:bCs/>
          <w:sz w:val="21"/>
          <w:szCs w:val="21"/>
        </w:rPr>
      </w:pPr>
      <w:r>
        <w:rPr/>
        <w:t>Directed cross-sector logistics operations, achieving measurable ROI and efficiency gains.</w:t>
      </w:r>
    </w:p>
    <w:p>
      <w:pPr>
        <w:pStyle w:val="TextBody"/>
        <w:numPr>
          <w:ilvl w:val="0"/>
          <w:numId w:val="4"/>
        </w:numPr>
        <w:tabs>
          <w:tab w:val="clear" w:pos="720"/>
          <w:tab w:val="left" w:pos="0" w:leader="none"/>
        </w:tabs>
        <w:spacing w:before="0" w:after="283"/>
        <w:ind w:left="709" w:hanging="283"/>
        <w:rPr>
          <w:b/>
          <w:b/>
          <w:bCs/>
          <w:sz w:val="21"/>
          <w:szCs w:val="21"/>
        </w:rPr>
      </w:pPr>
      <w:r>
        <w:rPr/>
        <w:t>Forged partnerships with public and private sector stakeholders, ensuring adoption of digital transformation initiatives.</w:t>
      </w:r>
    </w:p>
    <w:p>
      <w:pPr>
        <w:pStyle w:val="TextBody"/>
        <w:spacing w:before="0" w:after="283"/>
        <w:rPr>
          <w:b/>
          <w:b/>
          <w:bCs/>
          <w:sz w:val="21"/>
          <w:szCs w:val="21"/>
        </w:rPr>
      </w:pPr>
      <w:r>
        <w:rPr/>
        <w:t xml:space="preserve">🎓 </w:t>
      </w:r>
      <w:r>
        <w:rPr/>
        <w:t>Education &amp; Certifications</w:t>
      </w:r>
    </w:p>
    <w:p>
      <w:pPr>
        <w:pStyle w:val="TextBody"/>
        <w:numPr>
          <w:ilvl w:val="0"/>
          <w:numId w:val="5"/>
        </w:numPr>
        <w:tabs>
          <w:tab w:val="clear" w:pos="720"/>
          <w:tab w:val="left" w:pos="0" w:leader="none"/>
        </w:tabs>
        <w:spacing w:before="0" w:after="283"/>
        <w:ind w:left="709" w:hanging="283"/>
        <w:rPr>
          <w:b/>
          <w:b/>
          <w:bCs/>
          <w:sz w:val="21"/>
          <w:szCs w:val="21"/>
        </w:rPr>
      </w:pPr>
      <w:r>
        <w:rPr/>
        <w:t>Professional Diploma in Infocomm Technology (Professional Services &amp; Material Management)</w:t>
      </w:r>
    </w:p>
    <w:p>
      <w:pPr>
        <w:pStyle w:val="TextBody"/>
        <w:numPr>
          <w:ilvl w:val="0"/>
          <w:numId w:val="5"/>
        </w:numPr>
        <w:tabs>
          <w:tab w:val="clear" w:pos="720"/>
          <w:tab w:val="left" w:pos="0" w:leader="none"/>
        </w:tabs>
        <w:spacing w:before="0" w:after="283"/>
        <w:ind w:left="709" w:hanging="283"/>
        <w:rPr>
          <w:b/>
          <w:b/>
          <w:bCs/>
          <w:sz w:val="21"/>
          <w:szCs w:val="21"/>
        </w:rPr>
      </w:pPr>
      <w:r>
        <w:rPr/>
        <w:t>Agile Professional Certification (Professional Scrum Master I)</w:t>
      </w:r>
    </w:p>
    <w:p>
      <w:pPr>
        <w:pStyle w:val="TextBody"/>
        <w:numPr>
          <w:ilvl w:val="0"/>
          <w:numId w:val="5"/>
        </w:numPr>
        <w:tabs>
          <w:tab w:val="clear" w:pos="720"/>
          <w:tab w:val="left" w:pos="0" w:leader="none"/>
        </w:tabs>
        <w:spacing w:before="0" w:after="283"/>
        <w:ind w:left="709" w:hanging="283"/>
        <w:rPr>
          <w:b/>
          <w:b/>
          <w:bCs/>
          <w:sz w:val="21"/>
          <w:szCs w:val="21"/>
        </w:rPr>
      </w:pPr>
      <w:r>
        <w:rPr/>
        <w:t>Lean Six Sigma Green Belt (Preferred for role alignment)</w:t>
      </w:r>
    </w:p>
    <w:p>
      <w:pPr>
        <w:pStyle w:val="TextBody"/>
        <w:numPr>
          <w:ilvl w:val="0"/>
          <w:numId w:val="5"/>
        </w:numPr>
        <w:tabs>
          <w:tab w:val="clear" w:pos="720"/>
          <w:tab w:val="left" w:pos="0" w:leader="none"/>
        </w:tabs>
        <w:spacing w:before="0" w:after="283"/>
        <w:ind w:left="709" w:hanging="283"/>
        <w:rPr>
          <w:b/>
          <w:b/>
          <w:bCs/>
          <w:sz w:val="21"/>
          <w:szCs w:val="21"/>
        </w:rPr>
      </w:pPr>
      <w:r>
        <w:rPr/>
        <w:t>Product Management Tools: Jira, Confluence, DevOps</w:t>
      </w:r>
    </w:p>
    <w:p>
      <w:pPr>
        <w:pStyle w:val="TextBody"/>
        <w:numPr>
          <w:ilvl w:val="0"/>
          <w:numId w:val="5"/>
        </w:numPr>
        <w:tabs>
          <w:tab w:val="clear" w:pos="720"/>
          <w:tab w:val="left" w:pos="0" w:leader="none"/>
        </w:tabs>
        <w:spacing w:before="0" w:after="283"/>
        <w:ind w:left="709" w:hanging="283"/>
        <w:rPr>
          <w:b/>
          <w:b/>
          <w:bCs/>
          <w:sz w:val="21"/>
          <w:szCs w:val="21"/>
        </w:rPr>
      </w:pPr>
      <w:r>
        <w:rPr/>
        <w:t>Exposure to API/data-platform implementation and interoperability systems</w:t>
      </w:r>
    </w:p>
    <w:p>
      <w:pPr>
        <w:pStyle w:val="TextBody"/>
        <w:spacing w:before="0" w:after="283"/>
        <w:rPr>
          <w:b/>
          <w:b/>
          <w:bCs/>
          <w:sz w:val="21"/>
          <w:szCs w:val="21"/>
        </w:rPr>
      </w:pPr>
      <w:r>
        <w:rPr/>
        <w:t xml:space="preserve">🤝 </w:t>
      </w:r>
      <w:r>
        <w:rPr/>
        <w:t>Volunteer Leadership</w:t>
        <w:br/>
        <w:t>Outreach Leader, New Creation Church &amp; SG Care (10 years)</w:t>
        <w:br/>
        <w:t>Directed community outreach programs impacting 500+ families annually, strengthening social resilience and engagement.</w:t>
      </w:r>
    </w:p>
    <w:p>
      <w:pPr>
        <w:pStyle w:val="Normal"/>
        <w:widowControl/>
        <w:bidi w:val="0"/>
        <w:spacing w:lineRule="auto" w:line="288" w:before="0" w:after="321"/>
        <w:ind w:left="0" w:right="0" w:hanging="0"/>
        <w:jc w:val="left"/>
        <w:rPr>
          <w:b/>
          <w:b/>
          <w:bCs/>
          <w:sz w:val="21"/>
          <w:szCs w:val="21"/>
        </w:rPr>
      </w:pPr>
      <w:r>
        <w:rPr/>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Songti SC" w:cs="Arial Unicode MS"/>
      <w:color w:val="auto"/>
      <w:kern w:val="2"/>
      <w:sz w:val="24"/>
      <w:szCs w:val="24"/>
      <w:lang w:val="en-SG" w:eastAsia="zh-CN" w:bidi="hi-IN"/>
    </w:rPr>
  </w:style>
  <w:style w:type="paragraph" w:styleId="Heading1">
    <w:name w:val="Heading 1"/>
    <w:basedOn w:val="Heading"/>
    <w:next w:val="TextBody"/>
    <w:qFormat/>
    <w:pPr>
      <w:spacing w:before="240" w:after="120"/>
      <w:outlineLvl w:val="0"/>
    </w:pPr>
    <w:rPr>
      <w:rFonts w:ascii="Liberation Serif" w:hAnsi="Liberation Serif" w:eastAsia="Songti SC" w:cs="Arial Unicode MS"/>
      <w:b/>
      <w:bCs/>
      <w:sz w:val="48"/>
      <w:szCs w:val="48"/>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Characters">
    <w:name w:val="Footnote Characters"/>
    <w:qFormat/>
    <w:rPr>
      <w:vertAlign w:val="superscript"/>
    </w:rPr>
  </w:style>
  <w:style w:type="character" w:styleId="FootnoteAnchor">
    <w:name w:val="Footnote Anchor"/>
    <w:qFormat/>
    <w:rPr>
      <w:vertAlign w:val="superscript"/>
    </w:rPr>
  </w:style>
  <w:style w:type="character" w:styleId="EndnoteCharacters">
    <w:name w:val="Endnote Characters"/>
    <w:qFormat/>
    <w:rPr>
      <w:vertAlign w:val="superscript"/>
    </w:rPr>
  </w:style>
  <w:style w:type="character" w:styleId="EndnoteAnchor">
    <w:name w:val="Endnote Anchor"/>
    <w:qFormat/>
    <w:rPr>
      <w:vertAlign w:val="superscript"/>
    </w:rPr>
  </w:style>
  <w:style w:type="character" w:styleId="InternetLink">
    <w:name w:val="Hyperlink"/>
    <w:rPr>
      <w:color w:val="000080"/>
      <w:u w:val="single"/>
    </w:rPr>
  </w:style>
  <w:style w:type="character" w:styleId="BulletSymbols">
    <w:name w:val="Bullet_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qFormat/>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rPr/>
  </w:style>
  <w:style w:type="paragraph" w:styleId="Caption1">
    <w:name w:val="caption"/>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
    <w:name w:val="Footnote Text"/>
    <w:basedOn w:val="Normal"/>
    <w:pPr/>
    <w:rPr/>
  </w:style>
  <w:style w:type="paragraph" w:styleId="Endnote">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samleong2828"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DocxEditor/3.1.0.0$MacOSX_AARCH64 LibreOffice_project/e114eadc50a9ff8d8c8a0567d6da8f454beeb84f</Application>
  <AppVersion>15.0000</AppVersion>
  <Pages>2</Pages>
  <Words>433</Words>
  <Characters>2921</Characters>
  <CharactersWithSpaces>3294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en-SG</dc:language>
  <cp:lastModifiedBy/>
  <dcterms:modified xsi:type="dcterms:W3CDTF">2026-07-11T22:14:11Z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