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88" w:before="0" w:after="321"/>
        <w:ind w:left="0" w:right="0" w:hanging="0"/>
        <w:jc w:val="left"/>
        <w:rPr>
          <w:b/>
          <w:b/>
          <w:bCs/>
          <w:sz w:val="21"/>
          <w:szCs w:val="21"/>
        </w:rPr>
      </w:pPr>
      <w:r>
        <w:rPr>
          <w:rFonts w:eastAsia="Times-Roman" w:cs="Times-Roman" w:ascii="Arial" w:hAnsi="Arial"/>
          <w:b/>
          <w:bCs/>
          <w:color w:val="000000"/>
          <w:spacing w:val="0"/>
          <w:sz w:val="21"/>
          <w:szCs w:val="21"/>
        </w:rPr>
        <w:t xml:space="preserve">Sam Leong </w:t>
      </w:r>
      <w:r>
        <w:rPr>
          <w:rFonts w:eastAsia="Times-Roman" w:cs="Times-Roman" w:ascii="Arial" w:hAnsi="Arial"/>
          <w:b/>
          <w:bCs/>
          <w:color w:val="000000"/>
          <w:spacing w:val="0"/>
          <w:sz w:val="21"/>
          <w:szCs w:val="21"/>
          <w:lang w:val="en-US"/>
        </w:rPr>
        <w:t>-</w:t>
      </w:r>
      <w:r>
        <w:rPr>
          <w:rFonts w:eastAsia="Times-Roman" w:cs="Times-Roman" w:ascii="Arial" w:hAnsi="Arial"/>
          <w:b/>
          <w:bCs/>
          <w:color w:val="000000"/>
          <w:spacing w:val="0"/>
          <w:sz w:val="21"/>
          <w:szCs w:val="21"/>
        </w:rPr>
        <w:t xml:space="preserve"> Supply Chain &amp; Procurement Transformation Leader</w:t>
      </w:r>
    </w:p>
    <w:p>
      <w:pPr>
        <w:pStyle w:val="Normal"/>
        <w:widowControl/>
        <w:bidi w:val="0"/>
        <w:spacing w:lineRule="auto" w:line="288" w:before="0" w:after="240"/>
        <w:ind w:left="0" w:right="0" w:hanging="0"/>
        <w:jc w:val="left"/>
        <w:rPr>
          <w:b/>
          <w:b/>
          <w:bCs/>
          <w:sz w:val="21"/>
          <w:szCs w:val="21"/>
        </w:rPr>
      </w:pPr>
      <w:r>
        <w:rPr>
          <w:rFonts w:eastAsia="Times-Roman" w:cs="Times-Roman" w:ascii="Arial" w:hAnsi="Arial"/>
          <w:b/>
          <w:bCs/>
          <w:color w:val="000000"/>
          <w:spacing w:val="0"/>
          <w:sz w:val="21"/>
          <w:szCs w:val="21"/>
        </w:rPr>
        <w:t xml:space="preserve">📌 </w:t>
      </w:r>
      <w:r>
        <w:rPr>
          <w:rFonts w:eastAsia="Times-Roman" w:cs="Times-Roman" w:ascii="Arial" w:hAnsi="Arial"/>
          <w:b/>
          <w:bCs/>
          <w:color w:val="000000"/>
          <w:spacing w:val="0"/>
          <w:sz w:val="21"/>
          <w:szCs w:val="21"/>
        </w:rPr>
        <w:t>Contact </w:t>
      </w:r>
    </w:p>
    <w:p>
      <w:pPr>
        <w:pStyle w:val="Normal"/>
        <w:widowControl/>
        <w:bidi w:val="0"/>
        <w:spacing w:lineRule="auto" w:line="288" w:before="0" w:after="240"/>
        <w:ind w:left="0" w:right="0" w:hanging="0"/>
        <w:jc w:val="left"/>
        <w:rPr/>
      </w:pP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Blk 18 Jalan Sultan #16166, Singapore 190018 </w:t>
      </w:r>
    </w:p>
    <w:p>
      <w:pPr>
        <w:pStyle w:val="Normal"/>
        <w:widowControl/>
        <w:bidi w:val="0"/>
        <w:spacing w:lineRule="auto" w:line="288" w:before="0" w:after="240"/>
        <w:ind w:left="0" w:right="0" w:hanging="0"/>
        <w:jc w:val="left"/>
        <w:rPr/>
      </w:pP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 xml:space="preserve">Mobile: 8917 2828 | Email: </w:t>
      </w:r>
      <w:hyperlink r:id="rId2">
        <w:r>
          <w:rPr>
            <w:rStyle w:val="InternetLink"/>
            <w:rFonts w:eastAsia="Times-Roman" w:cs="Times-Roman" w:ascii="Arial" w:hAnsi="Arial"/>
            <w:color w:val="000000"/>
            <w:spacing w:val="0"/>
            <w:sz w:val="21"/>
            <w:szCs w:val="21"/>
          </w:rPr>
          <w:t>silentious@outlook.com</w:t>
        </w:r>
      </w:hyperlink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  | LinkedIn: l</w:t>
      </w:r>
      <w:hyperlink r:id="rId3">
        <w:r>
          <w:rPr>
            <w:rStyle w:val="InternetLink"/>
            <w:rFonts w:ascii="Arial" w:hAnsi="Arial"/>
            <w:sz w:val="21"/>
            <w:szCs w:val="21"/>
          </w:rPr>
          <w:t>inkedin.com/in/samleong2828 </w:t>
        </w:r>
      </w:hyperlink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 xml:space="preserve">Languages: Chinese (Native), English (Full Professional), Hainanese </w:t>
      </w: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(Convesational)</w:t>
      </w:r>
    </w:p>
    <w:p>
      <w:pPr>
        <w:pStyle w:val="Normal"/>
        <w:widowControl/>
        <w:bidi w:val="0"/>
        <w:spacing w:lineRule="auto" w:line="288" w:before="0" w:after="240"/>
        <w:ind w:left="0" w:right="0" w:hanging="0"/>
        <w:jc w:val="left"/>
        <w:rPr>
          <w:sz w:val="21"/>
          <w:szCs w:val="21"/>
        </w:rPr>
      </w:pP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 xml:space="preserve">🎯 </w:t>
      </w: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Career Objective Senior Manager Supply Chain (Procurement) with 31 years of experience in procurement, operations, fleet management, and global sales. Proven expertise in procurement re</w:t>
        <w:noBreakHyphen/>
        <w:t>organisation, category management, supplier performance, and digital procurement adoption. Seeking to lead SIA Engineering Company’s procurement transformation initiatives, embedding resilience, compliance, and Gen</w:t>
        <w:noBreakHyphen/>
        <w:t>AI enabled efficiency.</w:t>
      </w:r>
    </w:p>
    <w:p>
      <w:pPr>
        <w:pStyle w:val="Normal"/>
        <w:widowControl/>
        <w:bidi w:val="0"/>
        <w:spacing w:lineRule="auto" w:line="288" w:before="0" w:after="240"/>
        <w:ind w:left="0" w:right="0" w:hanging="0"/>
        <w:jc w:val="left"/>
        <w:rPr>
          <w:b/>
          <w:b/>
          <w:bCs/>
          <w:sz w:val="21"/>
          <w:szCs w:val="21"/>
        </w:rPr>
      </w:pPr>
      <w:r>
        <w:rPr>
          <w:rFonts w:eastAsia="Times-Roman" w:cs="Times-Roman" w:ascii="Arial" w:hAnsi="Arial"/>
          <w:b/>
          <w:bCs/>
          <w:color w:val="000000"/>
          <w:spacing w:val="0"/>
          <w:sz w:val="21"/>
          <w:szCs w:val="21"/>
        </w:rPr>
        <w:t xml:space="preserve">🔑 </w:t>
      </w:r>
      <w:r>
        <w:rPr>
          <w:rFonts w:eastAsia="Times-Roman" w:cs="Times-Roman" w:ascii="Arial" w:hAnsi="Arial"/>
          <w:b/>
          <w:bCs/>
          <w:color w:val="000000"/>
          <w:spacing w:val="0"/>
          <w:sz w:val="21"/>
          <w:szCs w:val="21"/>
        </w:rPr>
        <w:t>Key Skills</w:t>
      </w:r>
    </w:p>
    <w:p>
      <w:pPr>
        <w:pStyle w:val="Normal"/>
        <w:widowControl/>
        <w:numPr>
          <w:ilvl w:val="0"/>
          <w:numId w:val="6"/>
        </w:numPr>
        <w:tabs>
          <w:tab w:val="clear" w:pos="720"/>
          <w:tab w:val="left" w:pos="502" w:leader="none"/>
        </w:tabs>
        <w:bidi w:val="0"/>
        <w:spacing w:lineRule="auto" w:line="288" w:before="0" w:after="240"/>
        <w:ind w:left="502" w:right="0" w:hanging="282"/>
        <w:jc w:val="left"/>
        <w:rPr>
          <w:sz w:val="21"/>
          <w:szCs w:val="21"/>
        </w:rPr>
      </w:pP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Procurement reorganisation &amp; category management</w:t>
      </w:r>
    </w:p>
    <w:p>
      <w:pPr>
        <w:pStyle w:val="Normal"/>
        <w:widowControl/>
        <w:numPr>
          <w:ilvl w:val="0"/>
          <w:numId w:val="6"/>
        </w:numPr>
        <w:tabs>
          <w:tab w:val="clear" w:pos="720"/>
          <w:tab w:val="left" w:pos="502" w:leader="none"/>
        </w:tabs>
        <w:bidi w:val="0"/>
        <w:spacing w:lineRule="auto" w:line="288" w:before="0" w:after="240"/>
        <w:ind w:left="502" w:right="0" w:hanging="282"/>
        <w:jc w:val="left"/>
        <w:rPr>
          <w:sz w:val="21"/>
          <w:szCs w:val="21"/>
        </w:rPr>
      </w:pP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Strategic sourcing &amp; supplier relationship management</w:t>
      </w:r>
    </w:p>
    <w:p>
      <w:pPr>
        <w:pStyle w:val="Normal"/>
        <w:widowControl/>
        <w:numPr>
          <w:ilvl w:val="0"/>
          <w:numId w:val="6"/>
        </w:numPr>
        <w:tabs>
          <w:tab w:val="clear" w:pos="720"/>
          <w:tab w:val="left" w:pos="502" w:leader="none"/>
        </w:tabs>
        <w:bidi w:val="0"/>
        <w:spacing w:lineRule="auto" w:line="288" w:before="0" w:after="240"/>
        <w:ind w:left="502" w:right="0" w:hanging="282"/>
        <w:jc w:val="left"/>
        <w:rPr>
          <w:sz w:val="21"/>
          <w:szCs w:val="21"/>
        </w:rPr>
      </w:pP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SAP / Ariba / Coupa, spend analytics, GenAI procurement tools</w:t>
      </w:r>
    </w:p>
    <w:p>
      <w:pPr>
        <w:pStyle w:val="Normal"/>
        <w:widowControl/>
        <w:numPr>
          <w:ilvl w:val="0"/>
          <w:numId w:val="6"/>
        </w:numPr>
        <w:tabs>
          <w:tab w:val="clear" w:pos="720"/>
          <w:tab w:val="left" w:pos="502" w:leader="none"/>
        </w:tabs>
        <w:bidi w:val="0"/>
        <w:spacing w:lineRule="auto" w:line="288" w:before="0" w:after="240"/>
        <w:ind w:left="502" w:right="0" w:hanging="282"/>
        <w:jc w:val="left"/>
        <w:rPr>
          <w:sz w:val="21"/>
          <w:szCs w:val="21"/>
        </w:rPr>
      </w:pP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Lean Six Sigma (Green Belt+) &amp; process improvement</w:t>
      </w:r>
    </w:p>
    <w:p>
      <w:pPr>
        <w:pStyle w:val="Normal"/>
        <w:widowControl/>
        <w:numPr>
          <w:ilvl w:val="0"/>
          <w:numId w:val="6"/>
        </w:numPr>
        <w:tabs>
          <w:tab w:val="clear" w:pos="720"/>
          <w:tab w:val="left" w:pos="502" w:leader="none"/>
        </w:tabs>
        <w:bidi w:val="0"/>
        <w:spacing w:lineRule="auto" w:line="288" w:before="0" w:after="240"/>
        <w:ind w:left="502" w:right="0" w:hanging="282"/>
        <w:jc w:val="left"/>
        <w:rPr>
          <w:sz w:val="21"/>
          <w:szCs w:val="21"/>
        </w:rPr>
      </w:pP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Contract management &amp; negotiation</w:t>
      </w:r>
    </w:p>
    <w:p>
      <w:pPr>
        <w:pStyle w:val="Normal"/>
        <w:widowControl/>
        <w:numPr>
          <w:ilvl w:val="0"/>
          <w:numId w:val="6"/>
        </w:numPr>
        <w:tabs>
          <w:tab w:val="clear" w:pos="720"/>
          <w:tab w:val="left" w:pos="502" w:leader="none"/>
        </w:tabs>
        <w:bidi w:val="0"/>
        <w:spacing w:lineRule="auto" w:line="288" w:before="0" w:after="240"/>
        <w:ind w:left="502" w:right="0" w:hanging="282"/>
        <w:jc w:val="left"/>
        <w:rPr>
          <w:sz w:val="21"/>
          <w:szCs w:val="21"/>
        </w:rPr>
      </w:pP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Governance &amp; compliance frameworks (anti bribery, risk management)</w:t>
      </w:r>
    </w:p>
    <w:p>
      <w:pPr>
        <w:pStyle w:val="Normal"/>
        <w:widowControl/>
        <w:numPr>
          <w:ilvl w:val="0"/>
          <w:numId w:val="6"/>
        </w:numPr>
        <w:tabs>
          <w:tab w:val="clear" w:pos="720"/>
          <w:tab w:val="left" w:pos="502" w:leader="none"/>
        </w:tabs>
        <w:bidi w:val="0"/>
        <w:spacing w:lineRule="auto" w:line="288" w:before="0" w:after="240"/>
        <w:ind w:left="502" w:right="0" w:hanging="282"/>
        <w:jc w:val="left"/>
        <w:rPr>
          <w:sz w:val="21"/>
          <w:szCs w:val="21"/>
        </w:rPr>
      </w:pP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KPI governance &amp; performance dashboards</w:t>
      </w:r>
    </w:p>
    <w:p>
      <w:pPr>
        <w:pStyle w:val="Normal"/>
        <w:widowControl/>
        <w:numPr>
          <w:ilvl w:val="0"/>
          <w:numId w:val="6"/>
        </w:numPr>
        <w:tabs>
          <w:tab w:val="clear" w:pos="720"/>
          <w:tab w:val="left" w:pos="502" w:leader="none"/>
        </w:tabs>
        <w:bidi w:val="0"/>
        <w:spacing w:lineRule="auto" w:line="288" w:before="0" w:after="240"/>
        <w:ind w:left="502" w:right="0" w:hanging="282"/>
        <w:jc w:val="left"/>
        <w:rPr>
          <w:sz w:val="21"/>
          <w:szCs w:val="21"/>
        </w:rPr>
      </w:pP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Project &amp; change management</w:t>
      </w:r>
    </w:p>
    <w:p>
      <w:pPr>
        <w:pStyle w:val="Normal"/>
        <w:widowControl/>
        <w:numPr>
          <w:ilvl w:val="0"/>
          <w:numId w:val="6"/>
        </w:numPr>
        <w:tabs>
          <w:tab w:val="clear" w:pos="720"/>
          <w:tab w:val="left" w:pos="502" w:leader="none"/>
        </w:tabs>
        <w:bidi w:val="0"/>
        <w:spacing w:lineRule="auto" w:line="288" w:before="0" w:after="240"/>
        <w:ind w:left="502" w:right="0" w:hanging="282"/>
        <w:jc w:val="left"/>
        <w:rPr>
          <w:sz w:val="21"/>
          <w:szCs w:val="21"/>
        </w:rPr>
      </w:pP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Stakeholder engagement (public &amp; private sector)</w:t>
      </w:r>
    </w:p>
    <w:p>
      <w:pPr>
        <w:pStyle w:val="Normal"/>
        <w:widowControl/>
        <w:numPr>
          <w:ilvl w:val="0"/>
          <w:numId w:val="6"/>
        </w:numPr>
        <w:tabs>
          <w:tab w:val="clear" w:pos="720"/>
          <w:tab w:val="left" w:pos="502" w:leader="none"/>
        </w:tabs>
        <w:bidi w:val="0"/>
        <w:spacing w:lineRule="auto" w:line="288" w:before="0" w:after="240"/>
        <w:ind w:left="502" w:right="0" w:hanging="282"/>
        <w:jc w:val="left"/>
        <w:rPr>
          <w:sz w:val="21"/>
          <w:szCs w:val="21"/>
        </w:rPr>
      </w:pP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Cross functional collaboration &amp; team mentoring</w:t>
      </w:r>
    </w:p>
    <w:p>
      <w:pPr>
        <w:pStyle w:val="Normal"/>
        <w:widowControl/>
        <w:bidi w:val="0"/>
        <w:spacing w:lineRule="auto" w:line="288" w:before="0" w:after="240"/>
        <w:ind w:left="0" w:right="0" w:hanging="0"/>
        <w:jc w:val="left"/>
        <w:rPr>
          <w:b/>
          <w:b/>
          <w:bCs/>
          <w:sz w:val="21"/>
          <w:szCs w:val="21"/>
        </w:rPr>
      </w:pPr>
      <w:r>
        <w:rPr>
          <w:rFonts w:eastAsia="Times-Roman" w:cs="Times-Roman" w:ascii="Arial" w:hAnsi="Arial"/>
          <w:b/>
          <w:bCs/>
          <w:color w:val="000000"/>
          <w:spacing w:val="0"/>
          <w:sz w:val="21"/>
          <w:szCs w:val="21"/>
        </w:rPr>
        <w:t xml:space="preserve">📈 </w:t>
      </w:r>
      <w:r>
        <w:rPr>
          <w:rFonts w:eastAsia="Times-Roman" w:cs="Times-Roman" w:ascii="Arial" w:hAnsi="Arial"/>
          <w:b/>
          <w:bCs/>
          <w:color w:val="000000"/>
          <w:spacing w:val="0"/>
          <w:sz w:val="21"/>
          <w:szCs w:val="21"/>
        </w:rPr>
        <w:t>Professional Experience NCS Group (Singapore) | Sep 2021 – Present </w:t>
      </w:r>
    </w:p>
    <w:p>
      <w:pPr>
        <w:pStyle w:val="Normal"/>
        <w:widowControl/>
        <w:bidi w:val="0"/>
        <w:spacing w:lineRule="auto" w:line="288" w:before="0" w:after="240"/>
        <w:ind w:left="0" w:right="0" w:hanging="0"/>
        <w:jc w:val="left"/>
        <w:rPr>
          <w:b/>
          <w:b/>
          <w:bCs/>
          <w:sz w:val="21"/>
          <w:szCs w:val="21"/>
        </w:rPr>
      </w:pPr>
      <w:r>
        <w:rPr>
          <w:rFonts w:eastAsia="Times-Roman" w:cs="Times-Roman" w:ascii="Arial" w:hAnsi="Arial"/>
          <w:b/>
          <w:bCs/>
          <w:color w:val="000000"/>
          <w:spacing w:val="0"/>
          <w:sz w:val="21"/>
          <w:szCs w:val="21"/>
        </w:rPr>
        <w:t>Senior Product Management Analyst / AI Analyst</w:t>
      </w:r>
    </w:p>
    <w:p>
      <w:pPr>
        <w:pStyle w:val="Normal"/>
        <w:widowControl/>
        <w:numPr>
          <w:ilvl w:val="0"/>
          <w:numId w:val="5"/>
        </w:numPr>
        <w:tabs>
          <w:tab w:val="clear" w:pos="720"/>
          <w:tab w:val="left" w:pos="502" w:leader="none"/>
        </w:tabs>
        <w:bidi w:val="0"/>
        <w:spacing w:lineRule="auto" w:line="288" w:before="0" w:after="240"/>
        <w:ind w:left="502" w:right="0" w:hanging="282"/>
        <w:jc w:val="left"/>
        <w:rPr>
          <w:sz w:val="21"/>
          <w:szCs w:val="21"/>
        </w:rPr>
      </w:pP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Drove procurement transformation initiatives embedding digital procurement tools and analytics.</w:t>
      </w:r>
    </w:p>
    <w:p>
      <w:pPr>
        <w:pStyle w:val="Normal"/>
        <w:widowControl/>
        <w:numPr>
          <w:ilvl w:val="0"/>
          <w:numId w:val="5"/>
        </w:numPr>
        <w:tabs>
          <w:tab w:val="clear" w:pos="720"/>
          <w:tab w:val="left" w:pos="502" w:leader="none"/>
        </w:tabs>
        <w:bidi w:val="0"/>
        <w:spacing w:lineRule="auto" w:line="288" w:before="0" w:after="240"/>
        <w:ind w:left="502" w:right="0" w:hanging="282"/>
        <w:jc w:val="left"/>
        <w:rPr>
          <w:sz w:val="21"/>
          <w:szCs w:val="21"/>
        </w:rPr>
      </w:pP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Partnered with government agencies and industry stakeholders to co develop data exchange solutions ensuring interoperability and measurable value.</w:t>
      </w:r>
    </w:p>
    <w:p>
      <w:pPr>
        <w:pStyle w:val="Normal"/>
        <w:widowControl/>
        <w:numPr>
          <w:ilvl w:val="0"/>
          <w:numId w:val="5"/>
        </w:numPr>
        <w:tabs>
          <w:tab w:val="clear" w:pos="720"/>
          <w:tab w:val="left" w:pos="502" w:leader="none"/>
        </w:tabs>
        <w:bidi w:val="0"/>
        <w:spacing w:lineRule="auto" w:line="288" w:before="0" w:after="240"/>
        <w:ind w:left="502" w:right="0" w:hanging="282"/>
        <w:jc w:val="left"/>
        <w:rPr>
          <w:sz w:val="21"/>
          <w:szCs w:val="21"/>
        </w:rPr>
      </w:pP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Planned and executed UAT/live production deployments, achieving 100% on time delivery for customer onboarding.</w:t>
      </w:r>
    </w:p>
    <w:p>
      <w:pPr>
        <w:pStyle w:val="Normal"/>
        <w:widowControl/>
        <w:numPr>
          <w:ilvl w:val="0"/>
          <w:numId w:val="5"/>
        </w:numPr>
        <w:tabs>
          <w:tab w:val="clear" w:pos="720"/>
          <w:tab w:val="left" w:pos="502" w:leader="none"/>
        </w:tabs>
        <w:bidi w:val="0"/>
        <w:spacing w:lineRule="auto" w:line="288" w:before="0" w:after="240"/>
        <w:ind w:left="502" w:right="0" w:hanging="282"/>
        <w:jc w:val="left"/>
        <w:rPr>
          <w:sz w:val="21"/>
          <w:szCs w:val="21"/>
        </w:rPr>
      </w:pP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Managed customer accounts, driving 25% adoption growth and improving satisfaction scores by 30%.</w:t>
      </w:r>
    </w:p>
    <w:p>
      <w:pPr>
        <w:pStyle w:val="Normal"/>
        <w:widowControl/>
        <w:numPr>
          <w:ilvl w:val="0"/>
          <w:numId w:val="5"/>
        </w:numPr>
        <w:tabs>
          <w:tab w:val="clear" w:pos="720"/>
          <w:tab w:val="left" w:pos="502" w:leader="none"/>
        </w:tabs>
        <w:bidi w:val="0"/>
        <w:spacing w:lineRule="auto" w:line="288" w:before="0" w:after="240"/>
        <w:ind w:left="502" w:right="0" w:hanging="282"/>
        <w:jc w:val="left"/>
        <w:rPr>
          <w:sz w:val="21"/>
          <w:szCs w:val="21"/>
        </w:rPr>
      </w:pP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Implemented API driven interoperability frameworks enabling seamless data flows across supply chain partners.</w:t>
      </w:r>
    </w:p>
    <w:p>
      <w:pPr>
        <w:pStyle w:val="Normal"/>
        <w:widowControl/>
        <w:numPr>
          <w:ilvl w:val="0"/>
          <w:numId w:val="5"/>
        </w:numPr>
        <w:tabs>
          <w:tab w:val="clear" w:pos="720"/>
          <w:tab w:val="left" w:pos="502" w:leader="none"/>
        </w:tabs>
        <w:bidi w:val="0"/>
        <w:spacing w:lineRule="auto" w:line="288" w:before="0" w:after="240"/>
        <w:ind w:left="502" w:right="0" w:hanging="282"/>
        <w:jc w:val="left"/>
        <w:rPr>
          <w:sz w:val="21"/>
          <w:szCs w:val="21"/>
        </w:rPr>
      </w:pP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Tracked and delivered strategic KPIs, ensuring both financial and non financial targets were met.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502" w:leader="none"/>
        </w:tabs>
        <w:bidi w:val="0"/>
        <w:spacing w:lineRule="auto" w:line="288" w:before="0" w:after="240"/>
        <w:ind w:left="502" w:right="0" w:hanging="282"/>
        <w:jc w:val="left"/>
        <w:rPr>
          <w:b/>
          <w:b/>
          <w:bCs/>
          <w:sz w:val="21"/>
          <w:szCs w:val="21"/>
        </w:rPr>
      </w:pPr>
      <w:r>
        <w:rPr>
          <w:rFonts w:eastAsia="Times-Roman" w:cs="Times-Roman" w:ascii="Arial" w:hAnsi="Arial"/>
          <w:b/>
          <w:bCs/>
          <w:color w:val="000000"/>
          <w:spacing w:val="0"/>
          <w:sz w:val="21"/>
          <w:szCs w:val="21"/>
        </w:rPr>
        <w:t>Bridgestone &amp; MINDEF | 4 years Fleet Management Systems Specialist</w:t>
      </w:r>
    </w:p>
    <w:p>
      <w:pPr>
        <w:pStyle w:val="Normal"/>
        <w:widowControl/>
        <w:numPr>
          <w:ilvl w:val="0"/>
          <w:numId w:val="4"/>
        </w:numPr>
        <w:tabs>
          <w:tab w:val="clear" w:pos="720"/>
          <w:tab w:val="left" w:pos="502" w:leader="none"/>
        </w:tabs>
        <w:bidi w:val="0"/>
        <w:spacing w:lineRule="auto" w:line="288" w:before="0" w:after="240"/>
        <w:jc w:val="left"/>
        <w:rPr>
          <w:sz w:val="21"/>
          <w:szCs w:val="21"/>
        </w:rPr>
      </w:pP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Coordinated cross sector adoption of fleet systems, reducing downtime by 15% and boosting asset utilisation.</w:t>
      </w:r>
    </w:p>
    <w:p>
      <w:pPr>
        <w:pStyle w:val="Normal"/>
        <w:widowControl/>
        <w:numPr>
          <w:ilvl w:val="0"/>
          <w:numId w:val="4"/>
        </w:numPr>
        <w:tabs>
          <w:tab w:val="clear" w:pos="720"/>
          <w:tab w:val="left" w:pos="502" w:leader="none"/>
        </w:tabs>
        <w:bidi w:val="0"/>
        <w:spacing w:lineRule="auto" w:line="288" w:before="0" w:after="240"/>
        <w:jc w:val="left"/>
        <w:rPr>
          <w:sz w:val="21"/>
          <w:szCs w:val="21"/>
        </w:rPr>
      </w:pP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Delivered predictive maintenance solutions integrated with data driven platforms, enhancing transparency and compliance.</w:t>
      </w:r>
    </w:p>
    <w:p>
      <w:pPr>
        <w:pStyle w:val="Normal"/>
        <w:widowControl/>
        <w:numPr>
          <w:ilvl w:val="0"/>
          <w:numId w:val="4"/>
        </w:numPr>
        <w:tabs>
          <w:tab w:val="clear" w:pos="720"/>
          <w:tab w:val="left" w:pos="502" w:leader="none"/>
        </w:tabs>
        <w:bidi w:val="0"/>
        <w:spacing w:lineRule="auto" w:line="288" w:before="0" w:after="240"/>
        <w:jc w:val="left"/>
        <w:rPr>
          <w:sz w:val="21"/>
          <w:szCs w:val="21"/>
        </w:rPr>
      </w:pP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Acted as trusted advisor to stakeholders, aligning digital solutions with operational priorities.</w:t>
      </w:r>
    </w:p>
    <w:p>
      <w:pPr>
        <w:pStyle w:val="Normal"/>
        <w:widowControl/>
        <w:bidi w:val="0"/>
        <w:spacing w:lineRule="auto" w:line="288" w:before="0" w:after="240"/>
        <w:ind w:left="0" w:right="0" w:hanging="0"/>
        <w:jc w:val="left"/>
        <w:rPr>
          <w:sz w:val="21"/>
          <w:szCs w:val="21"/>
        </w:rPr>
      </w:pPr>
      <w:r>
        <w:rPr>
          <w:rFonts w:eastAsia="Times-Roman" w:cs="Times-Roman" w:ascii="Arial" w:hAnsi="Arial"/>
          <w:b/>
          <w:bCs/>
          <w:color w:val="000000"/>
          <w:spacing w:val="0"/>
          <w:sz w:val="21"/>
          <w:szCs w:val="21"/>
        </w:rPr>
        <w:t>Global Sales &amp; Business Development SME | 26 years</w:t>
      </w:r>
    </w:p>
    <w:p>
      <w:pPr>
        <w:pStyle w:val="Normal"/>
        <w:widowControl/>
        <w:numPr>
          <w:ilvl w:val="0"/>
          <w:numId w:val="3"/>
        </w:numPr>
        <w:bidi w:val="0"/>
        <w:spacing w:lineRule="auto" w:line="288" w:before="0" w:after="240"/>
        <w:jc w:val="left"/>
        <w:rPr>
          <w:sz w:val="21"/>
          <w:szCs w:val="21"/>
        </w:rPr>
      </w:pPr>
      <w:r>
        <w:rPr>
          <w:rFonts w:eastAsia="Times-Roman" w:cs="Times-Roman" w:ascii="Arial" w:hAnsi="Arial"/>
          <w:b w:val="false"/>
          <w:bCs w:val="false"/>
          <w:color w:val="000000"/>
          <w:spacing w:val="0"/>
          <w:sz w:val="21"/>
          <w:szCs w:val="21"/>
        </w:rPr>
        <w:t xml:space="preserve">Negotiated </w:t>
      </w: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multimillion dollar contracts worth SGD 50M+, driving enterprise growth across Asia and Europe.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502" w:leader="none"/>
        </w:tabs>
        <w:bidi w:val="0"/>
        <w:spacing w:lineRule="auto" w:line="288" w:before="0" w:after="240"/>
        <w:jc w:val="left"/>
        <w:rPr>
          <w:sz w:val="21"/>
          <w:szCs w:val="21"/>
        </w:rPr>
      </w:pP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Directed cross sector logistics operations, achieving measurable ROI and efficiency gains.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502" w:leader="none"/>
        </w:tabs>
        <w:bidi w:val="0"/>
        <w:spacing w:lineRule="auto" w:line="288" w:before="0" w:after="240"/>
        <w:jc w:val="left"/>
        <w:rPr>
          <w:sz w:val="21"/>
          <w:szCs w:val="21"/>
        </w:rPr>
      </w:pP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Forged partnerships with public and private sector stakeholders, ensuring adoption of digital transformation initiatives.</w:t>
      </w:r>
    </w:p>
    <w:p>
      <w:pPr>
        <w:pStyle w:val="Normal"/>
        <w:widowControl/>
        <w:bidi w:val="0"/>
        <w:spacing w:lineRule="auto" w:line="288" w:before="0" w:after="240"/>
        <w:ind w:left="0" w:right="0" w:hanging="0"/>
        <w:jc w:val="left"/>
        <w:rPr>
          <w:b/>
          <w:b/>
          <w:bCs/>
          <w:sz w:val="21"/>
          <w:szCs w:val="21"/>
        </w:rPr>
      </w:pPr>
      <w:r>
        <w:rPr>
          <w:rFonts w:eastAsia="Times-Roman" w:cs="Times-Roman" w:ascii="Arial" w:hAnsi="Arial"/>
          <w:b/>
          <w:bCs/>
          <w:color w:val="000000"/>
          <w:spacing w:val="0"/>
          <w:sz w:val="21"/>
          <w:szCs w:val="21"/>
        </w:rPr>
        <w:t xml:space="preserve">🎓 </w:t>
      </w:r>
      <w:r>
        <w:rPr>
          <w:rFonts w:eastAsia="Times-Roman" w:cs="Times-Roman" w:ascii="Arial" w:hAnsi="Arial"/>
          <w:b/>
          <w:bCs/>
          <w:color w:val="000000"/>
          <w:spacing w:val="0"/>
          <w:sz w:val="21"/>
          <w:szCs w:val="21"/>
        </w:rPr>
        <w:t>Education &amp; Certifications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502" w:leader="none"/>
        </w:tabs>
        <w:bidi w:val="0"/>
        <w:spacing w:lineRule="auto" w:line="288" w:before="0" w:after="240"/>
        <w:ind w:left="502" w:right="0" w:hanging="282"/>
        <w:jc w:val="left"/>
        <w:rPr>
          <w:sz w:val="21"/>
          <w:szCs w:val="21"/>
        </w:rPr>
      </w:pP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Professional Diploma in Infocomm Technology (Professional Services &amp; Material Management)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502" w:leader="none"/>
        </w:tabs>
        <w:bidi w:val="0"/>
        <w:spacing w:lineRule="auto" w:line="288" w:before="0" w:after="240"/>
        <w:ind w:left="502" w:right="0" w:hanging="282"/>
        <w:jc w:val="left"/>
        <w:rPr>
          <w:sz w:val="21"/>
          <w:szCs w:val="21"/>
        </w:rPr>
      </w:pP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Agile Professional Certification (Professional Scrum Master I)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502" w:leader="none"/>
        </w:tabs>
        <w:bidi w:val="0"/>
        <w:spacing w:lineRule="auto" w:line="288" w:before="0" w:after="240"/>
        <w:ind w:left="502" w:right="0" w:hanging="282"/>
        <w:jc w:val="left"/>
        <w:rPr>
          <w:sz w:val="21"/>
          <w:szCs w:val="21"/>
        </w:rPr>
      </w:pP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Lean Six Sigma Green Belt (Preferred for role alignment)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502" w:leader="none"/>
        </w:tabs>
        <w:bidi w:val="0"/>
        <w:spacing w:lineRule="auto" w:line="288" w:before="0" w:after="240"/>
        <w:ind w:left="502" w:right="0" w:hanging="282"/>
        <w:jc w:val="left"/>
        <w:rPr>
          <w:sz w:val="21"/>
          <w:szCs w:val="21"/>
        </w:rPr>
      </w:pP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Product Management Tools: Jira, Confluence, DevOps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502" w:leader="none"/>
        </w:tabs>
        <w:bidi w:val="0"/>
        <w:spacing w:lineRule="auto" w:line="288" w:before="0" w:after="240"/>
        <w:ind w:left="502" w:right="0" w:hanging="282"/>
        <w:jc w:val="left"/>
        <w:rPr>
          <w:sz w:val="21"/>
          <w:szCs w:val="21"/>
        </w:rPr>
      </w:pP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Exposure to API/data platform implementation and interoperability systems</w:t>
      </w:r>
    </w:p>
    <w:p>
      <w:pPr>
        <w:pStyle w:val="Normal"/>
        <w:widowControl/>
        <w:bidi w:val="0"/>
        <w:spacing w:lineRule="auto" w:line="288" w:before="0" w:after="240"/>
        <w:ind w:left="0" w:right="0" w:hanging="0"/>
        <w:jc w:val="left"/>
        <w:rPr>
          <w:sz w:val="21"/>
          <w:szCs w:val="21"/>
        </w:rPr>
      </w:pP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 xml:space="preserve">🤝 </w:t>
      </w:r>
      <w:r>
        <w:rPr>
          <w:rFonts w:eastAsia="Times-Roman" w:cs="Times-Roman" w:ascii="Arial" w:hAnsi="Arial"/>
          <w:b/>
          <w:bCs/>
          <w:color w:val="000000"/>
          <w:spacing w:val="0"/>
          <w:sz w:val="21"/>
          <w:szCs w:val="21"/>
        </w:rPr>
        <w:t>Volunteer Leadership </w:t>
      </w:r>
    </w:p>
    <w:p>
      <w:pPr>
        <w:pStyle w:val="Normal"/>
        <w:widowControl/>
        <w:bidi w:val="0"/>
        <w:spacing w:lineRule="auto" w:line="288" w:before="0" w:after="240"/>
        <w:ind w:left="0" w:right="0" w:hanging="0"/>
        <w:jc w:val="left"/>
        <w:rPr>
          <w:sz w:val="21"/>
          <w:szCs w:val="21"/>
        </w:rPr>
      </w:pPr>
      <w:r>
        <w:rPr>
          <w:rFonts w:eastAsia="Times-Roman" w:cs="Times-Roman" w:ascii="Arial" w:hAnsi="Arial"/>
          <w:color w:val="000000"/>
          <w:spacing w:val="0"/>
          <w:sz w:val="21"/>
          <w:szCs w:val="21"/>
        </w:rPr>
        <w:t>Outreach Leader, New Creation Church &amp; SG Care (10 years)  Directed community outreach programs impacting 500+ families annually, strengthening social resilience and engagement.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"/>
      <w:lvlJc w:val="left"/>
      <w:pPr>
        <w:tabs>
          <w:tab w:val="num" w:pos="502"/>
        </w:tabs>
        <w:ind w:left="502" w:hanging="282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502"/>
        </w:tabs>
        <w:ind w:left="502" w:hanging="282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S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SG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character" w:styleId="InternetLink">
    <w:name w:val="Hyperlink"/>
    <w:rPr>
      <w:color w:val="000080"/>
      <w:u w:val="single"/>
    </w:rPr>
  </w:style>
  <w:style w:type="character" w:styleId="BulletSymbols">
    <w:name w:val="Bullet_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TextBody">
    <w:name w:val="Body Text"/>
    <w:basedOn w:val="Normal"/>
    <w:qFormat/>
    <w:pPr/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/>
    <w:rPr/>
  </w:style>
  <w:style w:type="paragraph" w:styleId="Caption1">
    <w:name w:val="caption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">
    <w:name w:val="Footnote Text"/>
    <w:basedOn w:val="Normal"/>
    <w:pPr/>
    <w:rPr/>
  </w:style>
  <w:style w:type="paragraph" w:styleId="Endnote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ilentious@outlook.com" TargetMode="External"/><Relationship Id="rId3" Type="http://schemas.openxmlformats.org/officeDocument/2006/relationships/hyperlink" Target="https://linkedin.com/in/samleong2828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DocxEditor/3.1.0.0$MacOSX_AARCH64 LibreOffice_project/e114eadc50a9ff8d8c8a0567d6da8f454beeb84f</Application>
  <AppVersion>15.0000</AppVersion>
  <Pages>2</Pages>
  <Words>445</Words>
  <Characters>2927</Characters>
  <CharactersWithSpaces>3311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en-SG</dc:language>
  <cp:lastModifiedBy/>
  <dcterms:modified xsi:type="dcterms:W3CDTF">2026-07-11T22:03:56Z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