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500"/>
        <w:jc w:val="center"/>
      </w:pPr>
      <w:r>
        <w:rPr>
          <w:b/>
          <w:bCs/>
          <w:color w:val="1F3A5F"/>
          <w:sz w:val="72"/>
          <w:szCs w:val="72"/>
        </w:rPr>
        <w:t xml:space="preserve">RADIANT</w:t>
      </w:r>
    </w:p>
    <w:p>
      <w:pPr>
        <w:spacing w:after="40"/>
        <w:jc w:val="center"/>
      </w:pPr>
      <w:r>
        <w:rPr>
          <w:b/>
          <w:bCs/>
          <w:color w:val="2E8B8B"/>
          <w:sz w:val="30"/>
          <w:szCs w:val="30"/>
        </w:rPr>
        <w:t xml:space="preserve">Group Home Care Management Platform</w:t>
      </w:r>
    </w:p>
    <w:p>
      <w:pPr>
        <w:spacing w:after="600"/>
        <w:jc w:val="center"/>
      </w:pPr>
      <w:r>
        <w:rPr>
          <w:i/>
          <w:iCs/>
          <w:color w:val="5A5A5A"/>
          <w:sz w:val="24"/>
          <w:szCs w:val="24"/>
        </w:rPr>
        <w:t xml:space="preserve">What Phase 1 takes — in time, people, and dollars.</w:t>
      </w:r>
    </w:p>
    <w:p>
      <w:pPr>
        <w:spacing w:after="40"/>
        <w:jc w:val="center"/>
      </w:pPr>
      <w:r>
        <w:rPr>
          <w:b/>
          <w:bCs/>
          <w:sz w:val="32"/>
          <w:szCs w:val="32"/>
        </w:rPr>
        <w:t xml:space="preserve">Phase 1 Build Estimate — Timeline &amp; Cost</w:t>
      </w:r>
    </w:p>
    <w:p>
      <w:pPr>
        <w:spacing w:after="1000"/>
        <w:jc w:val="center"/>
      </w:pPr>
      <w:r>
        <w:rPr>
          <w:color w:val="5A5A5A"/>
          <w:sz w:val="22"/>
          <w:szCs w:val="22"/>
        </w:rPr>
        <w:t xml:space="preserve">Document 4 of 4  ·  Orlando, FL</w:t>
      </w:r>
    </w:p>
    <w:p>
      <w:pPr>
        <w:spacing w:after="20"/>
        <w:jc w:val="center"/>
      </w:pPr>
      <w:r>
        <w:rPr>
          <w:color w:val="5A5A5A"/>
          <w:sz w:val="20"/>
          <w:szCs w:val="20"/>
        </w:rPr>
        <w:t xml:space="preserve">Version 1.0  ·  Pre-Build Planning Document</w:t>
      </w:r>
    </w:p>
    <w:p>
      <w:pPr>
        <w:jc w:val="center"/>
      </w:pPr>
      <w:r>
        <w:rPr>
          <w:color w:val="5A5A5A"/>
          <w:sz w:val="20"/>
          <w:szCs w:val="20"/>
        </w:rPr>
        <w:t xml:space="preserve">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How to Read This</w:t>
      </w:r>
    </w:p>
    <w:p>
      <w:pPr>
        <w:spacing w:after="140" w:line="276"/>
      </w:pPr>
      <w:r>
        <w:t xml:space="preserve">This document estimates what it takes to build Phase 1 of Radiant: the time, the people, and the cost, for a group home operating in Orlando, Florida. It also lays out three realistic ways to build it so the owner can match the plan to a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1"/>
              <w:left w:val="single" w:color="2E8B8B" w:sz="18"/>
              <w:bottom w:val="single" w:color="2E8B8B" w:sz="1"/>
              <w:right w:val="single" w:color="2E8B8B" w:sz="1"/>
            </w:tcBorders>
            <w:shd w:fill="EAF2F2" w:val="clear"/>
            <w:tcMar>
              <w:top w:type="dxa" w:w="140"/>
              <w:left w:type="dxa" w:w="200"/>
              <w:bottom w:type="dxa" w:w="140"/>
              <w:right w:type="dxa" w:w="200"/>
            </w:tcMar>
          </w:tcPr>
          <w:p>
            <w:pPr>
              <w:spacing w:after="80"/>
            </w:pPr>
            <w:r>
              <w:rPr>
                <w:b/>
                <w:bCs/>
                <w:color w:val="1F3A5F"/>
                <w:sz w:val="24"/>
                <w:szCs w:val="24"/>
              </w:rPr>
              <w:t xml:space="preserve">These are planning estimates, not quotes</w:t>
            </w:r>
          </w:p>
          <w:p>
            <w:pPr>
              <w:spacing w:after="40" w:line="264"/>
            </w:pPr>
            <w:r>
              <w:t xml:space="preserve">Software costs vary widely with team, location, and scope. The ranges here are typical 2026 U.S. figures for a project like this and are meant for budgeting and decision-making. A firm quote comes only after detailed design and a signed scope.</w:t>
            </w:r>
          </w:p>
        </w:tc>
      </w:tr>
    </w:tbl>
    <w:p>
      <w:pPr>
        <w:pStyle w:val="Heading1"/>
      </w:pPr>
      <w:r>
        <w:t xml:space="preserve">2.  The Florida Reality (Read This First)</w:t>
      </w:r>
    </w:p>
    <w:p>
      <w:pPr>
        <w:spacing w:after="140" w:line="276"/>
      </w:pPr>
      <w:r>
        <w:t xml:space="preserve">Orlando group homes that serve people with developmental or intellectual disabilities are licensed by the Florida Agency for Persons with Disabilities (APD) under Chapter 393, Florida Statutes, and Rule Chapter 65G-2. Florida already mandates several state systems, and that shapes what we should build versus integrate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Florida requirement</w:t>
            </w:r>
          </w:p>
        </w:tc>
        <w:tc>
          <w:tcPr>
            <w:tcW w:type="dxa" w:w="56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What it means for Radiant</w:t>
            </w:r>
          </w:p>
        </w:tc>
      </w:tr>
      <w:tr>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APD licensing under Ch. 393 / 65G-2 (group homes of 4–15 residents, annual license, APD site visits)</w:t>
            </w:r>
          </w:p>
        </w:tc>
        <w:tc>
          <w:tcPr>
            <w:tcW w:type="dxa" w:w="5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Radiant's records, logs, and exports must line up with what APD monitors during site visits.</w:t>
            </w:r>
          </w:p>
        </w:tc>
      </w:tr>
      <w:tr>
        <w:tc>
          <w:tcPr>
            <w:tcW w:type="dxa" w:w="37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APD iConnect — the state's required client record / case system</w:t>
            </w:r>
          </w:p>
        </w:tc>
        <w:tc>
          <w:tcPr>
            <w:tcW w:type="dxa" w:w="56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Don't rebuild iConnect. Radiant complements it for daily operations and should export/sync to it, not replace it.</w:t>
            </w:r>
          </w:p>
        </w:tc>
      </w:tr>
      <w:tr>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Medication: Rule 65G-7 (unlicensed staff must be trained &amp; annually validated Medication Administration Providers; MAR completed correctly)</w:t>
            </w:r>
          </w:p>
        </w:tc>
        <w:tc>
          <w:tcPr>
            <w:tcW w:type="dxa" w:w="5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Radiant's eMAR must mirror the official MAR fields and support the 65G-7 process — and track each staffer's validation expiry.</w:t>
            </w:r>
          </w:p>
        </w:tc>
      </w:tr>
      <w:tr>
        <w:tc>
          <w:tcPr>
            <w:tcW w:type="dxa" w:w="37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EVV: AHCA contracts Netsmart / Mobile Caregiver+ (formerly Tellus); open-vendor model with aggregators HHA Exchange, Tellus, Coastal Care</w:t>
            </w:r>
          </w:p>
        </w:tc>
        <w:tc>
          <w:tcPr>
            <w:tcW w:type="dxa" w:w="56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If services are Medicaid-billed, visit data must reach the state EVV aggregator. Radiant should capture EVV data and export to Netsmart rather than become a certified EVV vendor itself (in Phase 1).</w:t>
            </w:r>
          </w:p>
        </w:tc>
      </w:tr>
      <w:tr>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Level II background screening for all staff (s. 435.12, 393.0655)</w:t>
            </w:r>
          </w:p>
        </w:tc>
        <w:tc>
          <w:tcPr>
            <w:tcW w:type="dxa" w:w="5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Track staff screening and training status and expiry in the app.</w:t>
            </w:r>
          </w:p>
        </w:tc>
      </w:tr>
      <w:tr>
        <w:tc>
          <w:tcPr>
            <w:tcW w:type="dxa" w:w="37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Incident reporting via APD operating procedures (e.g., APD OP forms) with defined timeframes</w:t>
            </w:r>
          </w:p>
        </w:tc>
        <w:tc>
          <w:tcPr>
            <w:tcW w:type="dxa" w:w="56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Radiant's incident module should match APD's categories and produce a report that supports timely APD notification.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1"/>
              <w:left w:val="single" w:color="2E8B8B" w:sz="18"/>
              <w:bottom w:val="single" w:color="2E8B8B" w:sz="1"/>
              <w:right w:val="single" w:color="2E8B8B" w:sz="1"/>
            </w:tcBorders>
            <w:shd w:fill="EAF2F2" w:val="clear"/>
            <w:tcMar>
              <w:top w:type="dxa" w:w="140"/>
              <w:left w:type="dxa" w:w="200"/>
              <w:bottom w:type="dxa" w:w="140"/>
              <w:right w:type="dxa" w:w="200"/>
            </w:tcMar>
          </w:tcPr>
          <w:p>
            <w:pPr>
              <w:spacing w:after="80"/>
            </w:pPr>
            <w:r>
              <w:rPr>
                <w:b/>
                <w:bCs/>
                <w:color w:val="1F3A5F"/>
                <w:sz w:val="24"/>
                <w:szCs w:val="24"/>
              </w:rPr>
              <w:t xml:space="preserve">The senior-engineer recommendation</w:t>
            </w:r>
          </w:p>
          <w:p>
            <w:pPr>
              <w:spacing w:after="40" w:line="264"/>
            </w:pPr>
            <w:r>
              <w:t xml:space="preserve">Build Radiant as the daily operations layer — clock-in, logs, eMAR, resident files, incidents — and integrate with Florida's mandated systems (iConnect, Netsmart EVV) rather than duplicating them. This cuts cost and risk dramatically and keeps you compliant.</w:t>
            </w:r>
          </w:p>
        </w:tc>
      </w:tr>
    </w:tbl>
    <w:p>
      <w:pPr>
        <w:pStyle w:val="Heading1"/>
        <w:pageBreakBefore/>
      </w:pPr>
      <w:r>
        <w:t xml:space="preserve">3.  What Phase 1 Includes</w:t>
      </w:r>
    </w:p>
    <w:p>
      <w:pPr>
        <w:spacing w:after="140" w:line="276"/>
      </w:pPr>
      <w:r>
        <w:t xml:space="preserve">Phase 1 delivers a working, secure product that a single Orlando home can use every day:</w:t>
      </w:r>
    </w:p>
    <w:p>
      <w:pPr>
        <w:pStyle w:val="ListParagraph"/>
        <w:numPr>
          <w:ilvl w:val="0"/>
          <w:numId w:val="2"/>
        </w:numPr>
        <w:spacing w:after="60" w:line="264"/>
      </w:pPr>
      <w:r>
        <w:t xml:space="preserve">Security &amp; audit backbone (encryption, role-based access, audit log) on HIPAA-eligible cloud hosting.</w:t>
      </w:r>
    </w:p>
    <w:p>
      <w:pPr>
        <w:pStyle w:val="ListParagraph"/>
        <w:numPr>
          <w:ilvl w:val="0"/>
          <w:numId w:val="2"/>
        </w:numPr>
        <w:spacing w:after="60" w:line="264"/>
      </w:pPr>
      <w:r>
        <w:t xml:space="preserve">User accounts, roles, and PIN clock-in.</w:t>
      </w:r>
    </w:p>
    <w:p>
      <w:pPr>
        <w:pStyle w:val="ListParagraph"/>
        <w:numPr>
          <w:ilvl w:val="0"/>
          <w:numId w:val="2"/>
        </w:numPr>
        <w:spacing w:after="60" w:line="264"/>
      </w:pPr>
      <w:r>
        <w:t xml:space="preserve">Staff sign-in / sign-out with EVV-ready time, location, and identity capture, plus the live shift board.</w:t>
      </w:r>
    </w:p>
    <w:p>
      <w:pPr>
        <w:pStyle w:val="ListParagraph"/>
        <w:numPr>
          <w:ilvl w:val="0"/>
          <w:numId w:val="2"/>
        </w:numPr>
        <w:spacing w:after="60" w:line="264"/>
      </w:pPr>
      <w:r>
        <w:t xml:space="preserve">Resident files and care plans (aligned to APD fields).</w:t>
      </w:r>
    </w:p>
    <w:p>
      <w:pPr>
        <w:pStyle w:val="ListParagraph"/>
        <w:numPr>
          <w:ilvl w:val="0"/>
          <w:numId w:val="2"/>
        </w:numPr>
        <w:spacing w:after="60" w:line="264"/>
      </w:pPr>
      <w:r>
        <w:t xml:space="preserve">Daily logs and shift handoff.</w:t>
      </w:r>
    </w:p>
    <w:p>
      <w:pPr>
        <w:pStyle w:val="ListParagraph"/>
        <w:numPr>
          <w:ilvl w:val="0"/>
          <w:numId w:val="2"/>
        </w:numPr>
        <w:spacing w:after="60" w:line="264"/>
      </w:pPr>
      <w:r>
        <w:t xml:space="preserve">Medication management (eMAR) modeled on the Florida 65G-7 MAR, with staff-validation expiry tracking.</w:t>
      </w:r>
    </w:p>
    <w:p>
      <w:pPr>
        <w:pStyle w:val="ListParagraph"/>
        <w:numPr>
          <w:ilvl w:val="0"/>
          <w:numId w:val="2"/>
        </w:numPr>
        <w:spacing w:after="60" w:line="264"/>
      </w:pPr>
      <w:r>
        <w:t xml:space="preserve">Web app plus a tablet/phone progressive web app (PWA) that works offline.</w:t>
      </w:r>
    </w:p>
    <w:p>
      <w:pPr>
        <w:spacing w:after="140" w:line="276"/>
      </w:pPr>
      <w:r>
        <w:t xml:space="preserve">Incidents, visitor management, the owner multi-home dashboard, advanced reporting, and the EVV/payroll integrations follow in Phases 2–3.</w:t>
      </w:r>
    </w:p>
    <w:p>
      <w:pPr>
        <w:pStyle w:val="Heading1"/>
      </w:pPr>
      <w:r>
        <w:t xml:space="preserve">4.  The Team to Build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Role</w:t>
            </w:r>
          </w:p>
        </w:tc>
        <w:tc>
          <w:tcPr>
            <w:tcW w:type="dxa" w:w="24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Commitment (Phase 1)</w:t>
            </w:r>
          </w:p>
        </w:tc>
        <w:tc>
          <w:tcPr>
            <w:tcW w:type="dxa" w:w="39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What they do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Tech lead / backend engineer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Full-time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Architecture, API, database, security backbone.</w:t>
            </w:r>
          </w:p>
        </w:tc>
      </w:tr>
      <w:tr>
        <w:tc>
          <w:tcPr>
            <w:tcW w:type="dxa" w:w="30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Frontend engineer</w:t>
            </w:r>
          </w:p>
        </w:tc>
        <w:tc>
          <w:tcPr>
            <w:tcW w:type="dxa" w:w="2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Full-time</w:t>
            </w:r>
          </w:p>
        </w:tc>
        <w:tc>
          <w:tcPr>
            <w:tcW w:type="dxa" w:w="39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Web and tablet/PWA screens.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UI/UX designer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Part-time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Wireframes to polished, accessible screens.</w:t>
            </w:r>
          </w:p>
        </w:tc>
      </w:tr>
      <w:tr>
        <w:tc>
          <w:tcPr>
            <w:tcW w:type="dxa" w:w="30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QA / tester</w:t>
            </w:r>
          </w:p>
        </w:tc>
        <w:tc>
          <w:tcPr>
            <w:tcW w:type="dxa" w:w="2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Part-time</w:t>
            </w:r>
          </w:p>
        </w:tc>
        <w:tc>
          <w:tcPr>
            <w:tcW w:type="dxa" w:w="39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Test the workflows, especially the eMAR.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Product owner / liaison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Part-time (can be you)</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Decisions, staff feedback, APD alignment.</w:t>
            </w:r>
          </w:p>
        </w:tc>
      </w:tr>
      <w:tr>
        <w:tc>
          <w:tcPr>
            <w:tcW w:type="dxa" w:w="30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Security / HIPAA reviewer</w:t>
            </w:r>
          </w:p>
        </w:tc>
        <w:tc>
          <w:tcPr>
            <w:tcW w:type="dxa" w:w="2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Short engagement</w:t>
            </w:r>
          </w:p>
        </w:tc>
        <w:tc>
          <w:tcPr>
            <w:tcW w:type="dxa" w:w="39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Pre-launch security review and policies.</w:t>
            </w:r>
          </w:p>
        </w:tc>
      </w:tr>
    </w:tbl>
    <w:p>
      <w:pPr>
        <w:spacing w:after="140" w:line="276"/>
      </w:pPr>
      <w:r>
        <w:t xml:space="preserve">A lean Phase 1 can run with two engineers plus part-time design and QA. Smaller teams cost less but take longer; that trade-off drives the options in Section 6.</w:t>
      </w:r>
    </w:p>
    <w:p>
      <w:pPr>
        <w:pStyle w:val="Heading1"/>
      </w:pPr>
      <w:r>
        <w:t xml:space="preserve">5.  Timeline</w:t>
      </w:r>
    </w:p>
    <w:p>
      <w:pPr>
        <w:spacing w:after="140" w:line="276"/>
      </w:pPr>
      <w:r>
        <w:t xml:space="preserve">A realistic Phase 1 runs about five to six months from kickoff to a pilot in one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60"/>
        <w:gridCol w:w="420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Stage</w:t>
            </w:r>
          </w:p>
        </w:tc>
        <w:tc>
          <w:tcPr>
            <w:tcW w:type="dxa" w:w="17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Duration</w:t>
            </w:r>
          </w:p>
        </w:tc>
        <w:tc>
          <w:tcPr>
            <w:tcW w:type="dxa" w:w="42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Outcome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Discovery &amp; detailed design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3–4 weeks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Final screens, data model, and APD-alignment confirmed.</w:t>
            </w:r>
          </w:p>
        </w:tc>
      </w:tr>
      <w:tr>
        <w:tc>
          <w:tcPr>
            <w:tcW w:type="dxa" w:w="3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Foundation (cloud, auth, audit core)</w:t>
            </w:r>
          </w:p>
        </w:tc>
        <w:tc>
          <w:tcPr>
            <w:tcW w:type="dxa" w:w="17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3–4 weeks</w:t>
            </w:r>
          </w:p>
        </w:tc>
        <w:tc>
          <w:tcPr>
            <w:tcW w:type="dxa" w:w="42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Secure, HIPAA-eligible base with logging.</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Core modules build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10–14 weeks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Clock-in, residents, logs, and eMAR working end to end.</w:t>
            </w:r>
          </w:p>
        </w:tc>
      </w:tr>
      <w:tr>
        <w:tc>
          <w:tcPr>
            <w:tcW w:type="dxa" w:w="3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Testing, security review &amp; hardening</w:t>
            </w:r>
          </w:p>
        </w:tc>
        <w:tc>
          <w:tcPr>
            <w:tcW w:type="dxa" w:w="17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3–4 weeks</w:t>
            </w:r>
          </w:p>
        </w:tc>
        <w:tc>
          <w:tcPr>
            <w:tcW w:type="dxa" w:w="42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Bugs fixed, security reviewed, policies written.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Pilot in one home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2–4 weeks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Real-world use, feedback, and final adjustments.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1"/>
              <w:left w:val="single" w:color="2E8B8B" w:sz="18"/>
              <w:bottom w:val="single" w:color="2E8B8B" w:sz="1"/>
              <w:right w:val="single" w:color="2E8B8B" w:sz="1"/>
            </w:tcBorders>
            <w:shd w:fill="EAF2F2" w:val="clear"/>
            <w:tcMar>
              <w:top w:type="dxa" w:w="140"/>
              <w:left w:type="dxa" w:w="200"/>
              <w:bottom w:type="dxa" w:w="140"/>
              <w:right w:type="dxa" w:w="200"/>
            </w:tcMar>
          </w:tcPr>
          <w:p>
            <w:pPr>
              <w:spacing w:after="80"/>
            </w:pPr>
            <w:r>
              <w:rPr>
                <w:b/>
                <w:bCs/>
                <w:color w:val="1F3A5F"/>
                <w:sz w:val="24"/>
                <w:szCs w:val="24"/>
              </w:rPr>
              <w:t xml:space="preserve">Total Phase 1: roughly 5–6 months</w:t>
            </w:r>
          </w:p>
          <w:p>
            <w:pPr>
              <w:spacing w:after="40" w:line="264"/>
            </w:pPr>
            <w:r>
              <w:t xml:space="preserve">A leaner, founder-driven build can compress some stages but should never skip the security review or the pilot — those protect residents and the business.</w:t>
            </w:r>
          </w:p>
        </w:tc>
      </w:tr>
    </w:tbl>
    <w:p>
      <w:pPr>
        <w:pStyle w:val="Heading1"/>
        <w:pageBreakBefore/>
      </w:pPr>
      <w:r>
        <w:t xml:space="preserve">6.  Cost — Three Realistic Paths</w:t>
      </w:r>
    </w:p>
    <w:p>
      <w:pPr>
        <w:spacing w:after="140" w:line="276"/>
      </w:pPr>
      <w:r>
        <w:t xml:space="preserve">Cost depends most on who builds it. Here are three honest options for Phase 1, with rough 2026 U.S. figures.</w:t>
      </w:r>
    </w:p>
    <w:p>
      <w:pPr>
        <w:pStyle w:val="Heading2"/>
      </w:pPr>
      <w:r>
        <w:t xml:space="preserve">Path A — Custom build by a U.S. agency / senior contractors</w:t>
      </w:r>
    </w:p>
    <w:p>
      <w:pPr>
        <w:spacing w:after="140" w:line="276"/>
      </w:pPr>
      <w:r>
        <w:t xml:space="preserve">Highest quality and accountability; highest cost.</w:t>
      </w:r>
    </w:p>
    <w:p>
      <w:pPr>
        <w:pStyle w:val="ListParagraph"/>
        <w:numPr>
          <w:ilvl w:val="0"/>
          <w:numId w:val="2"/>
        </w:numPr>
        <w:spacing w:after="60" w:line="264"/>
      </w:pPr>
      <w:r>
        <w:rPr>
          <w:b/>
          <w:bCs/>
        </w:rPr>
        <w:t xml:space="preserve">Phase 1: </w:t>
      </w:r>
      <w:r>
        <w:t xml:space="preserve">$90,000 – $180,000.</w:t>
      </w:r>
    </w:p>
    <w:p>
      <w:pPr>
        <w:pStyle w:val="ListParagraph"/>
        <w:numPr>
          <w:ilvl w:val="0"/>
          <w:numId w:val="2"/>
        </w:numPr>
        <w:spacing w:after="60" w:line="264"/>
      </w:pPr>
      <w:r>
        <w:rPr>
          <w:b/>
          <w:bCs/>
        </w:rPr>
        <w:t xml:space="preserve">Full product (Phases 1–3): </w:t>
      </w:r>
      <w:r>
        <w:t xml:space="preserve">$250,000 – $500,000+.</w:t>
      </w:r>
    </w:p>
    <w:p>
      <w:pPr>
        <w:pStyle w:val="Heading2"/>
      </w:pPr>
      <w:r>
        <w:t xml:space="preserve">Path B — Lean / blended or offshore team</w:t>
      </w:r>
    </w:p>
    <w:p>
      <w:pPr>
        <w:spacing w:after="140" w:line="276"/>
      </w:pPr>
      <w:r>
        <w:t xml:space="preserve">Good value if managed well; requires clear specs (which these documents provide).</w:t>
      </w:r>
    </w:p>
    <w:p>
      <w:pPr>
        <w:pStyle w:val="ListParagraph"/>
        <w:numPr>
          <w:ilvl w:val="0"/>
          <w:numId w:val="2"/>
        </w:numPr>
        <w:spacing w:after="60" w:line="264"/>
      </w:pPr>
      <w:r>
        <w:rPr>
          <w:b/>
          <w:bCs/>
        </w:rPr>
        <w:t xml:space="preserve">Phase 1: </w:t>
      </w:r>
      <w:r>
        <w:t xml:space="preserve">$40,000 – $90,000.</w:t>
      </w:r>
    </w:p>
    <w:p>
      <w:pPr>
        <w:pStyle w:val="ListParagraph"/>
        <w:numPr>
          <w:ilvl w:val="0"/>
          <w:numId w:val="2"/>
        </w:numPr>
        <w:spacing w:after="60" w:line="264"/>
      </w:pPr>
      <w:r>
        <w:rPr>
          <w:b/>
          <w:bCs/>
        </w:rPr>
        <w:t xml:space="preserve">Full product: </w:t>
      </w:r>
      <w:r>
        <w:t xml:space="preserve">$120,000 – $250,000.</w:t>
      </w:r>
    </w:p>
    <w:p>
      <w:pPr>
        <w:pStyle w:val="Heading2"/>
      </w:pPr>
      <w:r>
        <w:t xml:space="preserve">Path C — Founder-built with AI assistance + targeted contractors</w:t>
      </w:r>
    </w:p>
    <w:p>
      <w:pPr>
        <w:spacing w:after="140" w:line="276"/>
      </w:pPr>
      <w:r>
        <w:t xml:space="preserve">You drive the build using these specs and AI tooling, and hire specialists only for the hard, high-risk parts (security review, eMAR validation, EVV integration).</w:t>
      </w:r>
    </w:p>
    <w:p>
      <w:pPr>
        <w:pStyle w:val="ListParagraph"/>
        <w:numPr>
          <w:ilvl w:val="0"/>
          <w:numId w:val="2"/>
        </w:numPr>
        <w:spacing w:after="60" w:line="264"/>
      </w:pPr>
      <w:r>
        <w:rPr>
          <w:b/>
          <w:bCs/>
        </w:rPr>
        <w:t xml:space="preserve">Phase 1 cash cost: </w:t>
      </w:r>
      <w:r>
        <w:t xml:space="preserve">$5,000 – $25,000 (mostly the security review, design help, and infrastructure) plus your time.</w:t>
      </w:r>
    </w:p>
    <w:p>
      <w:pPr>
        <w:pStyle w:val="ListParagraph"/>
        <w:numPr>
          <w:ilvl w:val="0"/>
          <w:numId w:val="2"/>
        </w:numPr>
        <w:spacing w:after="60" w:line="264"/>
      </w:pPr>
      <w:r>
        <w:rPr>
          <w:b/>
          <w:bCs/>
        </w:rPr>
        <w:t xml:space="preserve">Trade-off: </w:t>
      </w:r>
      <w:r>
        <w:t xml:space="preserve">lowest cash outlay, highest time commitment and execution risk on a system that handles medications and PHI.</w:t>
      </w:r>
    </w:p>
    <w:p>
      <w:pPr>
        <w:pStyle w:val="Heading2"/>
      </w:pPr>
      <w:r>
        <w:t xml:space="preserve">Path D — Configure an existing care platform instead of building</w:t>
      </w:r>
    </w:p>
    <w:p>
      <w:pPr>
        <w:spacing w:after="140" w:line="276"/>
      </w:pPr>
      <w:r>
        <w:t xml:space="preserve">Several commercial group-home / IDD platforms already handle eMAR, logs, and EVV. Worth pricing before committing to a custom build.</w:t>
      </w:r>
    </w:p>
    <w:p>
      <w:pPr>
        <w:pStyle w:val="ListParagraph"/>
        <w:numPr>
          <w:ilvl w:val="0"/>
          <w:numId w:val="2"/>
        </w:numPr>
        <w:spacing w:after="60" w:line="264"/>
      </w:pPr>
      <w:r>
        <w:rPr>
          <w:b/>
          <w:bCs/>
        </w:rPr>
        <w:t xml:space="preserve">Typical model: </w:t>
      </w:r>
      <w:r>
        <w:t xml:space="preserve">setup $5,000 – $50,000, then a monthly per-resident or per-staff subscription.</w:t>
      </w:r>
    </w:p>
    <w:p>
      <w:pPr>
        <w:pStyle w:val="ListParagraph"/>
        <w:numPr>
          <w:ilvl w:val="0"/>
          <w:numId w:val="2"/>
        </w:numPr>
        <w:spacing w:after="60" w:line="264"/>
      </w:pPr>
      <w:r>
        <w:rPr>
          <w:b/>
          <w:bCs/>
        </w:rPr>
        <w:t xml:space="preserve">Trade-off: </w:t>
      </w:r>
      <w:r>
        <w:t xml:space="preserve">faster and proven, but less custom and an ongoing fee forever; you don't own the software.</w:t>
      </w:r>
    </w:p>
    <w:p>
      <w:pPr>
        <w:pStyle w:val="Heading1"/>
      </w:pPr>
      <w:r>
        <w:t xml:space="preserve">7.  Ongoing Costs (Any Custom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Item</w:t>
            </w:r>
          </w:p>
        </w:tc>
        <w:tc>
          <w:tcPr>
            <w:tcW w:type="dxa" w:w="39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Rough monthly cost (small scale)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HIPAA-eligible cloud hosting &amp; backups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$300 – $1,500</w:t>
            </w:r>
          </w:p>
        </w:tc>
      </w:tr>
      <w:tr>
        <w:tc>
          <w:tcPr>
            <w:tcW w:type="dxa" w:w="5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Notifications (SMS / email / push)</w:t>
            </w:r>
          </w:p>
        </w:tc>
        <w:tc>
          <w:tcPr>
            <w:tcW w:type="dxa" w:w="39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$50 – $300</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EVV aggregator / integration fees (if Medicaid-billed)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Varies by vendor</w:t>
            </w:r>
          </w:p>
        </w:tc>
      </w:tr>
      <w:tr>
        <w:tc>
          <w:tcPr>
            <w:tcW w:type="dxa" w:w="5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Maintenance, updates &amp; support</w:t>
            </w:r>
          </w:p>
        </w:tc>
        <w:tc>
          <w:tcPr>
            <w:tcW w:type="dxa" w:w="39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~15–20% of build cost per year</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Security &amp; compliance upkeep (reviews, monitoring)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$200 – $1,000</w:t>
            </w:r>
          </w:p>
        </w:tc>
      </w:tr>
    </w:tbl>
    <w:p>
      <w:pPr>
        <w:pStyle w:val="Heading1"/>
      </w:pPr>
      <w:r>
        <w:t xml:space="preserve">8.  Recommended Approach</w:t>
      </w:r>
    </w:p>
    <w:p>
      <w:pPr>
        <w:pStyle w:val="ListParagraph"/>
        <w:numPr>
          <w:ilvl w:val="0"/>
          <w:numId w:val="3"/>
        </w:numPr>
        <w:spacing w:after="60" w:line="264"/>
      </w:pPr>
      <w:r>
        <w:t xml:space="preserve">Price Path D (existing platforms) first — if one fits, it may beat building. Use these specs as your evaluation checklist.</w:t>
      </w:r>
    </w:p>
    <w:p>
      <w:pPr>
        <w:pStyle w:val="ListParagraph"/>
        <w:numPr>
          <w:ilvl w:val="0"/>
          <w:numId w:val="3"/>
        </w:numPr>
        <w:spacing w:after="60" w:line="264"/>
      </w:pPr>
      <w:r>
        <w:t xml:space="preserve">If building, choose Path B or C and scope strictly to Phase 1 for one Orlando home.</w:t>
      </w:r>
    </w:p>
    <w:p>
      <w:pPr>
        <w:pStyle w:val="ListParagraph"/>
        <w:numPr>
          <w:ilvl w:val="0"/>
          <w:numId w:val="3"/>
        </w:numPr>
        <w:spacing w:after="60" w:line="264"/>
      </w:pPr>
      <w:r>
        <w:t xml:space="preserve">Integrate with Florida's mandated systems (iConnect, Netsmart EVV) instead of rebuilding them.</w:t>
      </w:r>
    </w:p>
    <w:p>
      <w:pPr>
        <w:pStyle w:val="ListParagraph"/>
        <w:numPr>
          <w:ilvl w:val="0"/>
          <w:numId w:val="3"/>
        </w:numPr>
        <w:spacing w:after="60" w:line="264"/>
      </w:pPr>
      <w:r>
        <w:t xml:space="preserve">Never skip the HIPAA security review or the single-home pilot.</w:t>
      </w:r>
    </w:p>
    <w:p>
      <w:pPr>
        <w:pStyle w:val="ListParagraph"/>
        <w:numPr>
          <w:ilvl w:val="0"/>
          <w:numId w:val="3"/>
        </w:numPr>
        <w:spacing w:after="60" w:line="264"/>
      </w:pPr>
      <w:r>
        <w:t xml:space="preserve">Prove value in one home, then fund Phases 2–3 from the savings and confidence it creates.</w:t>
      </w:r>
    </w:p>
    <w:p>
      <w:pPr>
        <w:spacing w:after="120"/>
      </w:pPr>
      <w:r>
        <w:t xml:space="preserve"/>
      </w:r>
    </w:p>
    <w:p>
      <w:pPr>
        <w:pStyle w:val="Heading2"/>
      </w:pPr>
      <w:r>
        <w:t xml:space="preserve">At-a-glance budget snapshot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60"/>
        <w:gridCol w:w="280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Path</w:t>
            </w:r>
          </w:p>
        </w:tc>
        <w:tc>
          <w:tcPr>
            <w:tcW w:type="dxa" w:w="24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Phase 1 cash cost</w:t>
            </w:r>
          </w:p>
        </w:tc>
        <w:tc>
          <w:tcPr>
            <w:tcW w:type="dxa" w:w="19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Time to pilot</w:t>
            </w:r>
          </w:p>
        </w:tc>
        <w:tc>
          <w:tcPr>
            <w:tcW w:type="dxa" w:w="28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20" w:line="248"/>
              <w:jc w:val="left"/>
            </w:pPr>
            <w:r>
              <w:rPr>
                <w:b/>
                <w:bCs/>
                <w:color w:val="FFFFFF"/>
              </w:rPr>
              <w:t xml:space="preserve">Best when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A — U.S. agency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$90k – $180k</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5–6 months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Funded; want full accountability.</w:t>
            </w:r>
          </w:p>
        </w:tc>
      </w:tr>
      <w:tr>
        <w:tc>
          <w:tcPr>
            <w:tcW w:type="dxa" w:w="22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B — Lean / blended</w:t>
            </w:r>
          </w:p>
        </w:tc>
        <w:tc>
          <w:tcPr>
            <w:tcW w:type="dxa" w:w="2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$40k – $90k</w:t>
            </w:r>
          </w:p>
        </w:tc>
        <w:tc>
          <w:tcPr>
            <w:tcW w:type="dxa" w:w="19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5–7 months</w:t>
            </w:r>
          </w:p>
        </w:tc>
        <w:tc>
          <w:tcPr>
            <w:tcW w:type="dxa" w:w="28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Have specs; manage a team.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C — Founder + AI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$5k – $25k</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4–8 months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20" w:line="248"/>
              <w:jc w:val="left"/>
            </w:pPr>
            <w:r>
              <w:t xml:space="preserve">Hands-on; tight budget; accept risk.</w:t>
            </w:r>
          </w:p>
        </w:tc>
      </w:tr>
      <w:tr>
        <w:tc>
          <w:tcPr>
            <w:tcW w:type="dxa" w:w="22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D — Buy &amp; configure</w:t>
            </w:r>
          </w:p>
        </w:tc>
        <w:tc>
          <w:tcPr>
            <w:tcW w:type="dxa" w:w="24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$5k – $50k + monthly</w:t>
            </w:r>
          </w:p>
        </w:tc>
        <w:tc>
          <w:tcPr>
            <w:tcW w:type="dxa" w:w="196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1–3 months</w:t>
            </w:r>
          </w:p>
        </w:tc>
        <w:tc>
          <w:tcPr>
            <w:tcW w:type="dxa" w:w="2800"/>
            <w:tcBorders>
              <w:top w:val="single" w:color="CCCCCC" w:sz="1"/>
              <w:left w:val="single" w:color="CCCCCC" w:sz="1"/>
              <w:bottom w:val="single" w:color="CCCCCC" w:sz="1"/>
              <w:right w:val="single" w:color="CCCCCC" w:sz="1"/>
            </w:tcBorders>
            <w:shd w:fill="F4F7F9" w:val="clear"/>
            <w:tcMar>
              <w:top w:type="dxa" w:w="70"/>
              <w:left w:type="dxa" w:w="110"/>
              <w:bottom w:type="dxa" w:w="70"/>
              <w:right w:type="dxa" w:w="110"/>
            </w:tcMar>
          </w:tcPr>
          <w:p>
            <w:pPr>
              <w:spacing w:after="20" w:line="248"/>
              <w:jc w:val="left"/>
            </w:pPr>
            <w:r>
              <w:t xml:space="preserve">Want fast, proven, less custom.</w:t>
            </w:r>
          </w:p>
        </w:tc>
      </w:tr>
    </w:tbl>
    <w:p>
      <w:pPr>
        <w:spacing w:after="160"/>
      </w:pPr>
      <w:r>
        <w:t xml:space="preserve"/>
      </w:r>
    </w:p>
    <w:p>
      <w:pPr>
        <w:pBdr>
          <w:top w:val="single" w:color="2E8B8B" w:sz="6" w:space="6"/>
        </w:pBdr>
        <w:spacing w:after="80" w:before="200"/>
      </w:pPr>
      <w:r>
        <w:rPr>
          <w:b/>
          <w:bCs/>
          <w:color w:val="1F3A5F"/>
        </w:rPr>
        <w:t xml:space="preserve">Florida sources</w:t>
      </w:r>
    </w:p>
    <w:p>
      <w:pPr>
        <w:spacing w:after="40"/>
      </w:pPr>
      <w:hyperlink w:history="1" r:id="rId5jcrtgonb_mopl9pk-jbg">
        <w:r>
          <w:rPr>
            <w:rStyle w:val="Hyperlink"/>
            <w:sz w:val="18"/>
            <w:szCs w:val="18"/>
          </w:rPr>
          <w:t xml:space="preserve">APD — Group Homes (MyFlorida)</w:t>
        </w:r>
      </w:hyperlink>
    </w:p>
    <w:p>
      <w:pPr>
        <w:spacing w:after="40"/>
      </w:pPr>
      <w:hyperlink w:history="1" r:id="rIdka9o2qd4rdytfm4ijaivc">
        <w:r>
          <w:rPr>
            <w:rStyle w:val="Hyperlink"/>
            <w:sz w:val="18"/>
            <w:szCs w:val="18"/>
          </w:rPr>
          <w:t xml:space="preserve">Florida Statutes Chapter 393 — Developmental Disabilities</w:t>
        </w:r>
      </w:hyperlink>
    </w:p>
    <w:p>
      <w:pPr>
        <w:spacing w:after="40"/>
      </w:pPr>
      <w:hyperlink w:history="1" r:id="rIdow9dugej3dtmgcimhz4qe">
        <w:r>
          <w:rPr>
            <w:rStyle w:val="Hyperlink"/>
            <w:sz w:val="18"/>
            <w:szCs w:val="18"/>
          </w:rPr>
          <w:t xml:space="preserve">Florida Administrative Code 65G-7 — Medication Administration</w:t>
        </w:r>
      </w:hyperlink>
    </w:p>
    <w:p>
      <w:pPr>
        <w:spacing w:after="40"/>
      </w:pPr>
      <w:hyperlink w:history="1" r:id="rIdpihimjulnjvjnjz24dpfi">
        <w:r>
          <w:rPr>
            <w:rStyle w:val="Hyperlink"/>
            <w:sz w:val="18"/>
            <w:szCs w:val="18"/>
          </w:rPr>
          <w:t xml:space="preserve">AHCA — Home Health EVV (Netsmart)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A5A5A"/>
        <w:sz w:val="16"/>
        <w:szCs w:val="16"/>
      </w:rPr>
      <w:t xml:space="preserve">RADIANT  ·  Phase 1 Build Estimate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6" w:space="4"/>
      </w:pBdr>
      <w:spacing w:after="160" w:before="320"/>
      <w:outlineLvl w:val="0"/>
    </w:pPr>
    <w:rPr>
      <w:rFonts w:ascii="Arial" w:cs="Arial" w:eastAsia="Arial" w:hAnsi="Arial"/>
      <w:b/>
      <w:bCs/>
      <w:color w:val="1F3A5F"/>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2E8B8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jcrtgonb_mopl9pk-jbg" Type="http://schemas.openxmlformats.org/officeDocument/2006/relationships/hyperlink" Target="https://apd.myflorida.com/providers/group-homes.htm" TargetMode="External"/><Relationship Id="rIdka9o2qd4rdytfm4ijaivc" Type="http://schemas.openxmlformats.org/officeDocument/2006/relationships/hyperlink" Target="https://www.flsenate.gov/Laws/Statutes/2024/Chapter393/All" TargetMode="External"/><Relationship Id="rIdow9dugej3dtmgcimhz4qe" Type="http://schemas.openxmlformats.org/officeDocument/2006/relationships/hyperlink" Target="http://flrules.elaws.us/fac/65g-7.004" TargetMode="External"/><Relationship Id="rIdpihimjulnjvjnjz24dpfi" Type="http://schemas.openxmlformats.org/officeDocument/2006/relationships/hyperlink" Target="https://ahca.myflorida.com/medicaid/medicaid-home-health-hh-services/home-health-services-electronic-visit-verification-evv"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RADIANT  ·  Phase 1 Build Estimate</dc:title>
  <dc:creator>Radiant</dc:creator>
  <cp:lastModifiedBy>Un-named</cp:lastModifiedBy>
  <cp:revision>1</cp:revision>
  <dcterms:created xsi:type="dcterms:W3CDTF">2026-06-13T13:50:25.336Z</dcterms:created>
  <dcterms:modified xsi:type="dcterms:W3CDTF">2026-06-13T13:50:25.336Z</dcterms:modified>
</cp:coreProperties>
</file>

<file path=docProps/custom.xml><?xml version="1.0" encoding="utf-8"?>
<Properties xmlns="http://schemas.openxmlformats.org/officeDocument/2006/custom-properties" xmlns:vt="http://schemas.openxmlformats.org/officeDocument/2006/docPropsVTypes"/>
</file>