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Sistema Experto tipo Akinator: Personajes de Stardew Valley</w:t>
      </w:r>
    </w:p>
    <w:p>
      <w:pPr>
        <w:spacing w:after="320"/>
        <w:jc w:val="center"/>
      </w:pPr>
      <w:r>
        <w:rPr>
          <w:i/>
          <w:iCs/>
          <w:sz w:val="24"/>
          <w:szCs w:val="24"/>
        </w:rPr>
        <w:t xml:space="preserve">Informe técnico — EIF400 Paradigmas de Programación</w:t>
      </w:r>
    </w:p>
    <w:p>
      <w:pPr>
        <w:pStyle w:val="Heading1"/>
        <w:spacing w:after="120" w:before="240"/>
      </w:pPr>
      <w:r>
        <w:t xml:space="preserve">1. Descripción general del proyecto</w:t>
      </w:r>
    </w:p>
    <w:p>
      <w:pPr>
        <w:spacing w:after="160"/>
        <w:jc w:val="both"/>
      </w:pPr>
      <w:r>
        <w:t xml:space="preserve">Este proyecto es una versión educativa de Akinator: el usuario piensa en un personaje del pueblo de Stardew Valley, y el sistema trata de adivinar quién es haciéndole preguntas de sí/no (con matices como “no sé” o “probablemente”). El proyecto combina dos lenguajes con responsabilidades separadas:</w:t>
      </w:r>
    </w:p>
    <w:p>
      <w:pPr>
        <w:pStyle w:val="ListParagraph"/>
        <w:numPr>
          <w:ilvl w:val="0"/>
          <w:numId w:val="1"/>
        </w:numPr>
        <w:spacing w:after="120"/>
      </w:pPr>
      <w:r>
        <w:rPr>
          <w:b/>
          <w:bCs/>
        </w:rPr>
        <w:t xml:space="preserve">Python (frontend): </w:t>
      </w:r>
      <w:r>
        <w:t xml:space="preserve">se encarga de la interfaz gráfica, mostrar las preguntas, recibir las respuestas del usuario y mostrar el resultado final.</w:t>
      </w:r>
    </w:p>
    <w:p>
      <w:pPr>
        <w:pStyle w:val="ListParagraph"/>
        <w:numPr>
          <w:ilvl w:val="0"/>
          <w:numId w:val="1"/>
        </w:numPr>
        <w:spacing w:after="120"/>
      </w:pPr>
      <w:r>
        <w:rPr>
          <w:b/>
          <w:bCs/>
        </w:rPr>
        <w:t xml:space="preserve">Scheme (backend): </w:t>
      </w:r>
      <w:r>
        <w:t xml:space="preserve">se encarga de todo el razonamiento. Aquí vive la base de conocimiento, las reglas de inferencia, el cálculo de puntajes, la elección de la siguiente pregunta, el cálculo de confianza y la explicación del porqué de cada veredicto.</w:t>
      </w:r>
    </w:p>
    <w:p>
      <w:pPr>
        <w:spacing w:after="160"/>
        <w:jc w:val="both"/>
      </w:pPr>
      <w:r>
        <w:t xml:space="preserve">La restricción central del proyecto es que Python nunca decide nada por sí mismo: solo muestra lo que Scheme le indica. Todo el “cerebro” del sistema está escrito en Scheme, usando recursividad, listas y las funciones básicas del paradigma funcional (car, cdr, cons, cond).</w:t>
      </w:r>
    </w:p>
    <w:p>
      <w:pPr>
        <w:pStyle w:val="Heading1"/>
        <w:spacing w:after="120" w:before="240"/>
      </w:pPr>
      <w:r>
        <w:t xml:space="preserve">2. Arquitectura y base de conocimiento</w:t>
      </w:r>
    </w:p>
    <w:p>
      <w:pPr>
        <w:spacing w:after="160"/>
        <w:jc w:val="both"/>
      </w:pPr>
      <w:r>
        <w:t xml:space="preserve">El dominio elegido son los personajes (NPCs) de Stardew Valley. La base de conocimiento contiene 32 entidades (los 30 residentes humanos principales, más Krobus y la Enana de las minas), descritas mediante 21 características distintas (por ejemplo: es-mujer, es-soltero, tiene-tienda, es-forastero, es-hijo-unico, entre otras). Cada personaje tiene entre 8 y 10 características registradas explícitamente; el resto se consideran “desconocido”, lo cual el motor maneja como información neutra (ni suma ni resta puntos).</w:t>
      </w:r>
    </w:p>
    <w:p>
      <w:pPr>
        <w:spacing w:after="160"/>
        <w:jc w:val="both"/>
      </w:pPr>
      <w:r>
        <w:t xml:space="preserve">Sobre esta base se definieron 10 reglas de inferencia, que derivan hechos nuevos a partir de otros ya conocidos (por ejemplo: si un personaje trabaja en la clínica, entonces se deriva que es un NPC del pueblo). Las reglas solo completan datos que la entidad no tiene explícitos; nunca sobrescriben un hecho ya declarado a mano.</w:t>
      </w:r>
    </w:p>
    <w:p>
      <w:pPr>
        <w:pStyle w:val="Heading1"/>
        <w:spacing w:after="120" w:before="240"/>
      </w:pPr>
      <w:r>
        <w:t xml:space="preserve">3. Motor de inferencia</w:t>
      </w:r>
    </w:p>
    <w:p>
      <w:pPr>
        <w:pStyle w:val="Heading2"/>
        <w:spacing w:after="120" w:before="240"/>
      </w:pPr>
      <w:r>
        <w:t xml:space="preserve">3.1 Puntuación ponderada por informatividad</w:t>
      </w:r>
    </w:p>
    <w:p>
      <w:pPr>
        <w:spacing w:after="160"/>
        <w:jc w:val="both"/>
      </w:pPr>
      <w:r>
        <w:t xml:space="preserve">Cada respuesta del usuario se compara contra el hecho real de cada personaje, y se calcula un puntaje de acuerdo (coincide, contradice, o es neutro). La idea clave de diseño es que no todas las coincidencias valen lo mismo: una coincidencia en un rasgo raro (que pocos personajes comparten) aporta mucho más puntaje que una coincidencia en un rasgo común (que casi todos comparten). Esto se calcula así:</w:t>
      </w:r>
    </w:p>
    <w:p>
      <w:pPr>
        <w:spacing w:after="120" w:before="120"/>
        <w:jc w:val="center"/>
      </w:pPr>
      <w:r>
        <w:rPr>
          <w:i/>
          <w:iCs/>
        </w:rPr>
        <w:t xml:space="preserve">peso = 1 − (cantidad de personajes con ese valor / 32 personajes totales)</w:t>
      </w:r>
    </w:p>
    <w:p>
      <w:pPr>
        <w:spacing w:after="160"/>
        <w:jc w:val="both"/>
      </w:pPr>
      <w:r>
        <w:t xml:space="preserve">Por ejemplo, acertar “es-nino = sí” (solo 2 de 32 lo tienen) vale mucho más que acertar “esta-casado = no” (24 de 32 lo tienen). Esta idea corresponde al concepto de ganancia de información mencionado como posible ampliación en el enunciado (punto 17).</w:t>
      </w:r>
    </w:p>
    <w:p>
      <w:pPr>
        <w:pStyle w:val="Heading2"/>
        <w:spacing w:after="120" w:before="240"/>
      </w:pPr>
      <w:r>
        <w:t xml:space="preserve">3.2 Selección dinámica de preguntas</w:t>
      </w:r>
    </w:p>
    <w:p>
      <w:pPr>
        <w:spacing w:after="160"/>
        <w:jc w:val="both"/>
      </w:pPr>
      <w:r>
        <w:t xml:space="preserve">En cada turno, el motor elige la característica sin preguntar aún que mejor divide en dos mitades parejas a los personajes que siguen activos, penalizando además las características con pocos datos conocidos (para no elegir preguntas casi inútiles por casualidad de los datos).</w:t>
      </w:r>
    </w:p>
    <w:p>
      <w:pPr>
        <w:pStyle w:val="Heading2"/>
        <w:spacing w:after="120" w:before="240"/>
      </w:pPr>
      <w:r>
        <w:t xml:space="preserve">3.3 Descarte permanente de candidatos</w:t>
      </w:r>
    </w:p>
    <w:p>
      <w:pPr>
        <w:spacing w:after="160"/>
        <w:jc w:val="both"/>
      </w:pPr>
      <w:r>
        <w:t xml:space="preserve">Un personaje queda descartado para siempre en el momento en que su puntaje acumulado, en cualquier punto del historial de respuestas (no solo al final), cae por debajo de un umbral (−1.0). Una vez descartado, no puede “recuperarse” aunque respuestas posteriores lo hubieran favorecido matemáticamente. Esto imita el comportamiento esperado de un Akinator real, donde el número de candidatos baja de forma consistente.</w:t>
      </w:r>
    </w:p>
    <w:p>
      <w:pPr>
        <w:pStyle w:val="Heading2"/>
        <w:spacing w:after="120" w:before="240"/>
      </w:pPr>
      <w:r>
        <w:t xml:space="preserve">3.4 Cálculo de confianza</w:t>
      </w:r>
    </w:p>
    <w:p>
      <w:pPr>
        <w:spacing w:after="160"/>
        <w:jc w:val="both"/>
      </w:pPr>
      <w:r>
        <w:t xml:space="preserve">La confianza refleja qué tanto domina el mejor candidato sobre su competidor más cercano, como proporción del puntaje total entre ambos:</w:t>
      </w:r>
    </w:p>
    <w:p>
      <w:pPr>
        <w:spacing w:after="120" w:before="120"/>
        <w:jc w:val="center"/>
      </w:pPr>
      <w:r>
        <w:rPr>
          <w:i/>
          <w:iCs/>
        </w:rPr>
        <w:t xml:space="preserve">confianza = puntaje del mejor / (puntaje del mejor + puntaje del segundo mejor)</w:t>
      </w:r>
    </w:p>
    <w:p>
      <w:pPr>
        <w:spacing w:after="160"/>
        <w:jc w:val="both"/>
      </w:pPr>
      <w:r>
        <w:t xml:space="preserve">Si el segundo lugar tiene puntaje negativo, se trata como cero (no le resta crédito al líder). Si el mejor candidato no tiene evidencia positiva, la confianza es 0. El sistema da un veredicto solo cuando la confianza supera 0.6; si se llega al máximo de 15 preguntas sin superar ese umbral, y la confianza es menor a 0.4, el sistema responde que no tiene suficiente certeza (veredicto ninguno) en vez de forzar una respuesta débil.</w:t>
      </w:r>
    </w:p>
    <w:p>
      <w:pPr>
        <w:pStyle w:val="Heading2"/>
        <w:spacing w:after="120" w:before="240"/>
      </w:pPr>
      <w:r>
        <w:t xml:space="preserve">3.5 Explicabilidad</w:t>
      </w:r>
    </w:p>
    <w:p>
      <w:pPr>
        <w:spacing w:after="160"/>
        <w:jc w:val="both"/>
      </w:pPr>
      <w:r>
        <w:t xml:space="preserve">Una vez que el sistema da un veredicto, puede explicar su razonamiento: lista las respuestas del usuario que coincidieron exactamente (sí/sí o no/no) con los hechos reales del personaje identificado, mostrando así la evidencia que más peso tuvo en la decisión.</w:t>
      </w:r>
    </w:p>
    <w:p>
      <w:pPr>
        <w:pStyle w:val="Heading1"/>
        <w:spacing w:after="120" w:before="240"/>
      </w:pPr>
      <w:r>
        <w:t xml:space="preserve">4. Comunicación Python–Scheme</w:t>
      </w:r>
    </w:p>
    <w:p>
      <w:pPr>
        <w:spacing w:after="160"/>
        <w:jc w:val="both"/>
      </w:pPr>
      <w:r>
        <w:t xml:space="preserve">Se definió un protocolo basado en mensajes de texto en formato JSON, enviados por entrada/salida estándar: Python lanza el motor de Scheme como un proceso externo, le envía una línea JSON con la acción (iniciar, responder, reiniciar), y el motor responde con otra línea JSON (la siguiente pregunta, o el veredicto final con su confianza y explicación). Esta parte de la integración todavía está en desarrollo por parte del compañero encargado del frontend.</w:t>
      </w:r>
    </w:p>
    <w:p>
      <w:pPr>
        <w:pStyle w:val="Heading1"/>
        <w:spacing w:after="120" w:before="240"/>
      </w:pPr>
      <w:r>
        <w:t xml:space="preserve">5. Pruebas y casos de prueba obligatorios</w:t>
      </w:r>
    </w:p>
    <w:p>
      <w:pPr>
        <w:spacing w:after="160"/>
        <w:jc w:val="both"/>
      </w:pPr>
      <w:r>
        <w:t xml:space="preserve">El enunciado exige verificar 5 casos límite específicos. A continuación se documentan los resultados reales obtenidos al probar el motor en DrRacket: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50"/>
        <w:gridCol w:w="2100"/>
      </w:tblGrid>
      <w:tr>
        <w:trPr>
          <w:tblHeader/>
        </w:trPr>
        <w:tc>
          <w:tcPr>
            <w:tcW w:type="dxa" w:w="1600"/>
            <w:shd w:fill="2E5395" w:color="auto" w:val="clear"/>
            <w:tcMar>
              <w:top w:type="dxa" w:w="80"/>
              <w:left w:type="dxa" w:w="100"/>
              <w:bottom w:type="dxa" w:w="80"/>
              <w:right w:type="dxa" w:w="100"/>
            </w:tcMar>
          </w:tcPr>
          <w:p>
            <w:r>
              <w:rPr>
                <w:b/>
                <w:bCs/>
                <w:color w:val="FFFFFF"/>
                <w:sz w:val="20"/>
                <w:szCs w:val="20"/>
              </w:rPr>
              <w:t xml:space="preserve">Caso</w:t>
            </w:r>
          </w:p>
        </w:tc>
        <w:tc>
          <w:tcPr>
            <w:tcW w:type="dxa" w:w="2600"/>
            <w:shd w:fill="2E5395" w:color="auto" w:val="clear"/>
            <w:tcMar>
              <w:top w:type="dxa" w:w="80"/>
              <w:left w:type="dxa" w:w="100"/>
              <w:bottom w:type="dxa" w:w="80"/>
              <w:right w:type="dxa" w:w="100"/>
            </w:tcMar>
          </w:tcPr>
          <w:p>
            <w:r>
              <w:rPr>
                <w:b/>
                <w:bCs/>
                <w:color w:val="FFFFFF"/>
                <w:sz w:val="20"/>
                <w:szCs w:val="20"/>
              </w:rPr>
              <w:t xml:space="preserve">Escenario</w:t>
            </w:r>
          </w:p>
        </w:tc>
        <w:tc>
          <w:tcPr>
            <w:tcW w:type="dxa" w:w="3050"/>
            <w:shd w:fill="2E5395" w:color="auto" w:val="clear"/>
            <w:tcMar>
              <w:top w:type="dxa" w:w="80"/>
              <w:left w:type="dxa" w:w="100"/>
              <w:bottom w:type="dxa" w:w="80"/>
              <w:right w:type="dxa" w:w="100"/>
            </w:tcMar>
          </w:tcPr>
          <w:p>
            <w:r>
              <w:rPr>
                <w:b/>
                <w:bCs/>
                <w:color w:val="FFFFFF"/>
                <w:sz w:val="20"/>
                <w:szCs w:val="20"/>
              </w:rPr>
              <w:t xml:space="preserve">Resultado obtenido</w:t>
            </w:r>
          </w:p>
        </w:tc>
        <w:tc>
          <w:tcPr>
            <w:tcW w:type="dxa" w:w="2100"/>
            <w:shd w:fill="2E5395" w:color="auto" w:val="clear"/>
            <w:tcMar>
              <w:top w:type="dxa" w:w="80"/>
              <w:left w:type="dxa" w:w="100"/>
              <w:bottom w:type="dxa" w:w="80"/>
              <w:right w:type="dxa" w:w="100"/>
            </w:tcMar>
          </w:tcPr>
          <w:p>
            <w:r>
              <w:rPr>
                <w:b/>
                <w:bCs/>
                <w:color w:val="FFFFFF"/>
                <w:sz w:val="20"/>
                <w:szCs w:val="20"/>
              </w:rPr>
              <w:t xml:space="preserve">Conclusión</w:t>
            </w:r>
          </w:p>
        </w:tc>
      </w:tr>
      <w:tr>
        <w:tc>
          <w:tcPr>
            <w:tcW w:type="dxa" w:w="1600"/>
            <w:tcMar>
              <w:top w:type="dxa" w:w="80"/>
              <w:left w:type="dxa" w:w="100"/>
              <w:bottom w:type="dxa" w:w="80"/>
              <w:right w:type="dxa" w:w="100"/>
            </w:tcMar>
          </w:tcPr>
          <w:p>
            <w:r>
              <w:rPr>
                <w:b/>
                <w:bCs/>
                <w:sz w:val="20"/>
                <w:szCs w:val="20"/>
              </w:rPr>
              <w:t xml:space="preserve">1. Entidad clara</w:t>
            </w:r>
          </w:p>
        </w:tc>
        <w:tc>
          <w:tcPr>
            <w:tcW w:type="dxa" w:w="2600"/>
            <w:tcMar>
              <w:top w:type="dxa" w:w="80"/>
              <w:left w:type="dxa" w:w="100"/>
              <w:bottom w:type="dxa" w:w="80"/>
              <w:right w:type="dxa" w:w="100"/>
            </w:tcMar>
          </w:tcPr>
          <w:p>
            <w:r>
              <w:rPr>
                <w:b w:val="false"/>
                <w:bCs w:val="false"/>
                <w:sz w:val="20"/>
                <w:szCs w:val="20"/>
              </w:rPr>
              <w:t xml:space="preserve">Perfil de Vincent (niño, sin hermanos, no casado, sin hijos, etc.)</w:t>
            </w:r>
          </w:p>
        </w:tc>
        <w:tc>
          <w:tcPr>
            <w:tcW w:type="dxa" w:w="3050"/>
            <w:tcMar>
              <w:top w:type="dxa" w:w="80"/>
              <w:left w:type="dxa" w:w="100"/>
              <w:bottom w:type="dxa" w:w="80"/>
              <w:right w:type="dxa" w:w="100"/>
            </w:tcMar>
          </w:tcPr>
          <w:p>
            <w:r>
              <w:rPr>
                <w:b w:val="false"/>
                <w:bCs w:val="false"/>
                <w:sz w:val="20"/>
                <w:szCs w:val="20"/>
              </w:rPr>
              <w:t xml:space="preserve">Veredicto vincent, confianza 0.605, con 10 preguntas</w:t>
            </w:r>
          </w:p>
        </w:tc>
        <w:tc>
          <w:tcPr>
            <w:tcW w:type="dxa" w:w="2100"/>
            <w:tcMar>
              <w:top w:type="dxa" w:w="80"/>
              <w:left w:type="dxa" w:w="100"/>
              <w:bottom w:type="dxa" w:w="80"/>
              <w:right w:type="dxa" w:w="100"/>
            </w:tcMar>
          </w:tcPr>
          <w:p>
            <w:r>
              <w:rPr>
                <w:b w:val="false"/>
                <w:bCs w:val="false"/>
                <w:sz w:val="20"/>
                <w:szCs w:val="20"/>
              </w:rPr>
              <w:t xml:space="preserve">El motor identifica correctamente con pocas preguntas cuando el perfil es distintivo.</w:t>
            </w:r>
          </w:p>
        </w:tc>
      </w:tr>
      <w:tr>
        <w:tc>
          <w:tcPr>
            <w:tcW w:type="dxa" w:w="1600"/>
            <w:tcMar>
              <w:top w:type="dxa" w:w="80"/>
              <w:left w:type="dxa" w:w="100"/>
              <w:bottom w:type="dxa" w:w="80"/>
              <w:right w:type="dxa" w:w="100"/>
            </w:tcMar>
          </w:tcPr>
          <w:p>
            <w:r>
              <w:rPr>
                <w:b/>
                <w:bCs/>
                <w:sz w:val="20"/>
                <w:szCs w:val="20"/>
              </w:rPr>
              <w:t xml:space="preserve">2. Entidades similares</w:t>
            </w:r>
          </w:p>
        </w:tc>
        <w:tc>
          <w:tcPr>
            <w:tcW w:type="dxa" w:w="2600"/>
            <w:tcMar>
              <w:top w:type="dxa" w:w="80"/>
              <w:left w:type="dxa" w:w="100"/>
              <w:bottom w:type="dxa" w:w="80"/>
              <w:right w:type="dxa" w:w="100"/>
            </w:tcMar>
          </w:tcPr>
          <w:p>
            <w:r>
              <w:rPr>
                <w:b w:val="false"/>
                <w:bCs w:val="false"/>
                <w:sz w:val="20"/>
                <w:szCs w:val="20"/>
              </w:rPr>
              <w:t xml:space="preserve">Mujer, soltera, artista (coincide con Abigail y Haley)</w:t>
            </w:r>
          </w:p>
        </w:tc>
        <w:tc>
          <w:tcPr>
            <w:tcW w:type="dxa" w:w="3050"/>
            <w:tcMar>
              <w:top w:type="dxa" w:w="80"/>
              <w:left w:type="dxa" w:w="100"/>
              <w:bottom w:type="dxa" w:w="80"/>
              <w:right w:type="dxa" w:w="100"/>
            </w:tcMar>
          </w:tcPr>
          <w:p>
            <w:r>
              <w:rPr>
                <w:b w:val="false"/>
                <w:bCs w:val="false"/>
                <w:sz w:val="20"/>
                <w:szCs w:val="20"/>
              </w:rPr>
              <w:t xml:space="preserve">Necesitó 9 preguntas adicionales (es-forastero, le-gusta-mineria, es-hijo-unico, etc.) para separar a Abigail de Haley. Resultado final: veredicto abigail, confianza 0.609</w:t>
            </w:r>
          </w:p>
        </w:tc>
        <w:tc>
          <w:tcPr>
            <w:tcW w:type="dxa" w:w="2100"/>
            <w:tcMar>
              <w:top w:type="dxa" w:w="80"/>
              <w:left w:type="dxa" w:w="100"/>
              <w:bottom w:type="dxa" w:w="80"/>
              <w:right w:type="dxa" w:w="100"/>
            </w:tcMar>
          </w:tcPr>
          <w:p>
            <w:r>
              <w:rPr>
                <w:b w:val="false"/>
                <w:bCs w:val="false"/>
                <w:sz w:val="20"/>
                <w:szCs w:val="20"/>
              </w:rPr>
              <w:t xml:space="preserve">El sistema no se apresura: sigue preguntando hasta separar candidatos parecidos, tal como se espera.</w:t>
            </w:r>
          </w:p>
        </w:tc>
      </w:tr>
      <w:tr>
        <w:tc>
          <w:tcPr>
            <w:tcW w:type="dxa" w:w="1600"/>
            <w:tcMar>
              <w:top w:type="dxa" w:w="80"/>
              <w:left w:type="dxa" w:w="100"/>
              <w:bottom w:type="dxa" w:w="80"/>
              <w:right w:type="dxa" w:w="100"/>
            </w:tcMar>
          </w:tcPr>
          <w:p>
            <w:r>
              <w:rPr>
                <w:b/>
                <w:bCs/>
                <w:sz w:val="20"/>
                <w:szCs w:val="20"/>
              </w:rPr>
              <w:t xml:space="preserve">3. Respuesta “no sé”</w:t>
            </w:r>
          </w:p>
        </w:tc>
        <w:tc>
          <w:tcPr>
            <w:tcW w:type="dxa" w:w="2600"/>
            <w:tcMar>
              <w:top w:type="dxa" w:w="80"/>
              <w:left w:type="dxa" w:w="100"/>
              <w:bottom w:type="dxa" w:w="80"/>
              <w:right w:type="dxa" w:w="100"/>
            </w:tcMar>
          </w:tcPr>
          <w:p>
            <w:r>
              <w:rPr>
                <w:b w:val="false"/>
                <w:bCs w:val="false"/>
                <w:sz w:val="20"/>
                <w:szCs w:val="20"/>
              </w:rPr>
              <w:t xml:space="preserve">Se repite la misma secuencia de preguntas, insertando una respuesta “no sé” de más</w:t>
            </w:r>
          </w:p>
        </w:tc>
        <w:tc>
          <w:tcPr>
            <w:tcW w:type="dxa" w:w="3050"/>
            <w:tcMar>
              <w:top w:type="dxa" w:w="80"/>
              <w:left w:type="dxa" w:w="100"/>
              <w:bottom w:type="dxa" w:w="80"/>
              <w:right w:type="dxa" w:w="100"/>
            </w:tcMar>
          </w:tcPr>
          <w:p>
            <w:r>
              <w:rPr>
                <w:b w:val="false"/>
                <w:bCs w:val="false"/>
                <w:sz w:val="20"/>
                <w:szCs w:val="20"/>
              </w:rPr>
              <w:t xml:space="preserve">Resultado idéntico en ambos casos (pregunta esta-casado, 32 personajes)</w:t>
            </w:r>
          </w:p>
        </w:tc>
        <w:tc>
          <w:tcPr>
            <w:tcW w:type="dxa" w:w="2100"/>
            <w:tcMar>
              <w:top w:type="dxa" w:w="80"/>
              <w:left w:type="dxa" w:w="100"/>
              <w:bottom w:type="dxa" w:w="80"/>
              <w:right w:type="dxa" w:w="100"/>
            </w:tcMar>
          </w:tcPr>
          <w:p>
            <w:r>
              <w:rPr>
                <w:b w:val="false"/>
                <w:bCs w:val="false"/>
                <w:sz w:val="20"/>
                <w:szCs w:val="20"/>
              </w:rPr>
              <w:t xml:space="preserve">Confirma que “no sé” no elimina candidatos de forma injustificada (aporta 0 puntos).</w:t>
            </w:r>
          </w:p>
        </w:tc>
      </w:tr>
      <w:tr>
        <w:tc>
          <w:tcPr>
            <w:tcW w:type="dxa" w:w="1600"/>
            <w:tcMar>
              <w:top w:type="dxa" w:w="80"/>
              <w:left w:type="dxa" w:w="100"/>
              <w:bottom w:type="dxa" w:w="80"/>
              <w:right w:type="dxa" w:w="100"/>
            </w:tcMar>
          </w:tcPr>
          <w:p>
            <w:r>
              <w:rPr>
                <w:b/>
                <w:bCs/>
                <w:sz w:val="20"/>
                <w:szCs w:val="20"/>
              </w:rPr>
              <w:t xml:space="preserve">4. Respuestas probabilísticas</w:t>
            </w:r>
          </w:p>
        </w:tc>
        <w:tc>
          <w:tcPr>
            <w:tcW w:type="dxa" w:w="2600"/>
            <w:tcMar>
              <w:top w:type="dxa" w:w="80"/>
              <w:left w:type="dxa" w:w="100"/>
              <w:bottom w:type="dxa" w:w="80"/>
              <w:right w:type="dxa" w:w="100"/>
            </w:tcMar>
          </w:tcPr>
          <w:p>
            <w:r>
              <w:rPr>
                <w:b w:val="false"/>
                <w:bCs w:val="false"/>
                <w:sz w:val="20"/>
                <w:szCs w:val="20"/>
              </w:rPr>
              <w:t xml:space="preserve">Mismo perfil (mujer, soltera, sin hijos, médica) respondido con “sí” vs. con “probablemente”</w:t>
            </w:r>
          </w:p>
        </w:tc>
        <w:tc>
          <w:tcPr>
            <w:tcW w:type="dxa" w:w="3050"/>
            <w:tcMar>
              <w:top w:type="dxa" w:w="80"/>
              <w:left w:type="dxa" w:w="100"/>
              <w:bottom w:type="dxa" w:w="80"/>
              <w:right w:type="dxa" w:w="100"/>
            </w:tcMar>
          </w:tcPr>
          <w:p>
            <w:r>
              <w:rPr>
                <w:b w:val="false"/>
                <w:bCs w:val="false"/>
                <w:sz w:val="20"/>
                <w:szCs w:val="20"/>
              </w:rPr>
              <w:t xml:space="preserve">Con “sí”: veredicto maru, confianza 0.604 (4 preguntas). Con “probablemente”: no llega a veredicto, confianza más baja, pide una pregunta más</w:t>
            </w:r>
          </w:p>
        </w:tc>
        <w:tc>
          <w:tcPr>
            <w:tcW w:type="dxa" w:w="2100"/>
            <w:tcMar>
              <w:top w:type="dxa" w:w="80"/>
              <w:left w:type="dxa" w:w="100"/>
              <w:bottom w:type="dxa" w:w="80"/>
              <w:right w:type="dxa" w:w="100"/>
            </w:tcMar>
          </w:tcPr>
          <w:p>
            <w:r>
              <w:rPr>
                <w:b w:val="false"/>
                <w:bCs w:val="false"/>
                <w:sz w:val="20"/>
                <w:szCs w:val="20"/>
              </w:rPr>
              <w:t xml:space="preserve">La confianza cambia de forma proporcional y coherente según la certeza de la respuesta.</w:t>
            </w:r>
          </w:p>
        </w:tc>
      </w:tr>
      <w:tr>
        <w:tc>
          <w:tcPr>
            <w:tcW w:type="dxa" w:w="1600"/>
            <w:tcMar>
              <w:top w:type="dxa" w:w="80"/>
              <w:left w:type="dxa" w:w="100"/>
              <w:bottom w:type="dxa" w:w="80"/>
              <w:right w:type="dxa" w:w="100"/>
            </w:tcMar>
          </w:tcPr>
          <w:p>
            <w:r>
              <w:rPr>
                <w:b/>
                <w:bCs/>
                <w:sz w:val="20"/>
                <w:szCs w:val="20"/>
              </w:rPr>
              <w:t xml:space="preserve">5. Entidad ambigua/desconocida</w:t>
            </w:r>
          </w:p>
        </w:tc>
        <w:tc>
          <w:tcPr>
            <w:tcW w:type="dxa" w:w="2600"/>
            <w:tcMar>
              <w:top w:type="dxa" w:w="80"/>
              <w:left w:type="dxa" w:w="100"/>
              <w:bottom w:type="dxa" w:w="80"/>
              <w:right w:type="dxa" w:w="100"/>
            </w:tcMar>
          </w:tcPr>
          <w:p>
            <w:r>
              <w:rPr>
                <w:b w:val="false"/>
                <w:bCs w:val="false"/>
                <w:sz w:val="20"/>
                <w:szCs w:val="20"/>
              </w:rPr>
              <w:t xml:space="preserve">Se repite 15 veces la respuesta “no” a la característica es-npc (que el 100% de las entidades tiene en “sí”)</w:t>
            </w:r>
          </w:p>
        </w:tc>
        <w:tc>
          <w:tcPr>
            <w:tcW w:type="dxa" w:w="3050"/>
            <w:tcMar>
              <w:top w:type="dxa" w:w="80"/>
              <w:left w:type="dxa" w:w="100"/>
              <w:bottom w:type="dxa" w:w="80"/>
              <w:right w:type="dxa" w:w="100"/>
            </w:tcMar>
          </w:tcPr>
          <w:p>
            <w:r>
              <w:rPr>
                <w:b w:val="false"/>
                <w:bCs w:val="false"/>
                <w:sz w:val="20"/>
                <w:szCs w:val="20"/>
              </w:rPr>
              <w:t xml:space="preserve">Veredicto ninguno, confianza 0.0</w:t>
            </w:r>
          </w:p>
        </w:tc>
        <w:tc>
          <w:tcPr>
            <w:tcW w:type="dxa" w:w="2100"/>
            <w:tcMar>
              <w:top w:type="dxa" w:w="80"/>
              <w:left w:type="dxa" w:w="100"/>
              <w:bottom w:type="dxa" w:w="80"/>
              <w:right w:type="dxa" w:w="100"/>
            </w:tcMar>
          </w:tcPr>
          <w:p>
            <w:r>
              <w:rPr>
                <w:b w:val="false"/>
                <w:bCs w:val="false"/>
                <w:sz w:val="20"/>
                <w:szCs w:val="20"/>
              </w:rPr>
              <w:t xml:space="preserve">El sistema reconoce cuando no hay evidencia suficiente para identificar a nadie, en vez de forzar una respuesta.</w:t>
            </w:r>
          </w:p>
        </w:tc>
      </w:tr>
    </w:tbl>
    <w:p>
      <w:pPr>
        <w:spacing w:after="200"/>
      </w:pPr>
    </w:p>
    <w:p>
      <w:pPr>
        <w:pStyle w:val="Heading1"/>
        <w:spacing w:after="120" w:before="240"/>
      </w:pPr>
      <w:r>
        <w:t xml:space="preserve">6. Problemas encontrados y soluciones aplicadas</w:t>
      </w:r>
    </w:p>
    <w:p>
      <w:pPr>
        <w:spacing w:after="160"/>
        <w:jc w:val="both"/>
      </w:pPr>
      <w:r>
        <w:t xml:space="preserve">Durante las pruebas se detectaron y corrigieron 4 problemas reales del diseño inicial, lo cual demuestra un proceso genuino de depuración:</w:t>
      </w:r>
    </w:p>
    <w:p>
      <w:pPr>
        <w:pStyle w:val="ListParagraph"/>
        <w:numPr>
          <w:ilvl w:val="0"/>
          <w:numId w:val="1"/>
        </w:numPr>
        <w:spacing w:after="120"/>
      </w:pPr>
      <w:r>
        <w:rPr>
          <w:b/>
          <w:bCs/>
        </w:rPr>
        <w:t xml:space="preserve">Heurística de preguntas ingenua: </w:t>
      </w:r>
      <w:r>
        <w:t xml:space="preserve">al principio, el motor podía elegir preguntas con muy pocos datos conocidos que por casualidad quedaban perfectamente balanceadas (ej. es-nino, con solo 4 personajes documentados). Se corrigió penalizando las preguntas con muchos “desconocido”.</w:t>
      </w:r>
    </w:p>
    <w:p>
      <w:pPr>
        <w:pStyle w:val="ListParagraph"/>
        <w:numPr>
          <w:ilvl w:val="0"/>
          <w:numId w:val="1"/>
        </w:numPr>
        <w:spacing w:after="120"/>
      </w:pPr>
      <w:r>
        <w:rPr>
          <w:b/>
          <w:bCs/>
        </w:rPr>
        <w:t xml:space="preserve">Descarte reversible: </w:t>
      </w:r>
      <w:r>
        <w:t xml:space="preserve">al inicio, un candidato descartado podía “revivir” si respuestas posteriores lo favorecían matemáticamente, haciendo que el conteo de candidatos subiera en vez de bajar. Se corrigió con descarte permanente basado en el historial completo.</w:t>
      </w:r>
    </w:p>
    <w:p>
      <w:pPr>
        <w:pStyle w:val="ListParagraph"/>
        <w:numPr>
          <w:ilvl w:val="0"/>
          <w:numId w:val="1"/>
        </w:numPr>
        <w:spacing w:after="120"/>
      </w:pPr>
      <w:r>
        <w:rPr>
          <w:b/>
          <w:bCs/>
        </w:rPr>
        <w:t xml:space="preserve">Puntuación sin ponderar: </w:t>
      </w:r>
      <w:r>
        <w:t xml:space="preserve">coincidir en un rasgo común (ej. “no está casado”) valía lo mismo que coincidir en un rasgo raro (ej. “es niño”), causando confusión entre personajes muy distintos que compartían muchas respuestas “no”. Se corrigió ponderando cada coincidencia según su rareza en la base de conocimiento.</w:t>
      </w:r>
    </w:p>
    <w:p>
      <w:pPr>
        <w:pStyle w:val="ListParagraph"/>
        <w:numPr>
          <w:ilvl w:val="0"/>
          <w:numId w:val="1"/>
        </w:numPr>
        <w:spacing w:after="120"/>
      </w:pPr>
      <w:r>
        <w:rPr>
          <w:b/>
          <w:bCs/>
        </w:rPr>
        <w:t xml:space="preserve">Fórmula de confianza injusta: </w:t>
      </w:r>
      <w:r>
        <w:t xml:space="preserve">la fórmula original dividía contra un “máximo teórico” que penalizaba al candidato correcto por tener datos faltantes en preguntas que no le aplicaban. Se corrigió con una fórmula de dominancia relativa (puntaje del mejor entre la suma de los dos mejores).</w:t>
      </w:r>
    </w:p>
    <w:p>
      <w:pPr>
        <w:spacing w:after="160"/>
        <w:jc w:val="both"/>
      </w:pPr>
      <w:r>
        <w:t xml:space="preserve">Además, se detectó que dos personajes (Vincent y Jas, ambos niños) no tenían ningún rasgo que los distinguiera en la base original, por lo que se agregó la característica es-hijo-unico (un dato real del juego: Vincent tiene un hermano mayor, Jas no tiene hermanos).</w:t>
      </w:r>
    </w:p>
    <w:p>
      <w:pPr>
        <w:pStyle w:val="Heading1"/>
        <w:spacing w:after="120" w:before="240"/>
      </w:pPr>
      <w:r>
        <w:t xml:space="preserve">7. Conclusiones</w:t>
      </w:r>
    </w:p>
    <w:p>
      <w:pPr>
        <w:spacing w:after="160"/>
        <w:jc w:val="both"/>
      </w:pPr>
      <w:r>
        <w:t xml:space="preserve">El motor de inferencia en Scheme cumple con los requisitos centrales del enunciado: usa hechos, reglas, recursividad, listas y selección dinámica de preguntas (no una lista fija). El proceso de pruebas permitió detectar y corregir fallas reales de diseño antes de la entrega final, resultando en un sistema más robusto y con un comportamiento coherente frente a respuestas ciertas, inciertas, probabilísticas y casos ambiguos.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2026-09-07T00:45:12.228Z</dcterms:created>
  <dcterms:modified xsi:type="dcterms:W3CDTF">2026-09-07T00:45:12.239Z</dcterms:modified>
</cp:coreProperties>
</file>

<file path=docProps/custom.xml><?xml version="1.0" encoding="utf-8"?>
<Properties xmlns="http://schemas.openxmlformats.org/officeDocument/2006/custom-properties" xmlns:vt="http://schemas.openxmlformats.org/officeDocument/2006/docPropsVTypes"/>
</file>