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E33ACF" w14:textId="3A7239C1" w:rsidR="00A151C2" w:rsidRDefault="0032096D">
      <w:pPr>
        <w:rPr>
          <w:lang w:val="it-IT"/>
        </w:rPr>
      </w:pPr>
      <w:r>
        <w:rPr>
          <w:lang w:val="it-IT"/>
        </w:rPr>
        <w:t>Drug efficacy evaluation</w:t>
      </w:r>
    </w:p>
    <w:p w14:paraId="4D49F416" w14:textId="2925D24D" w:rsidR="00A151C2" w:rsidRPr="00A151C2" w:rsidRDefault="00A151C2">
      <w:pPr>
        <w:rPr>
          <w:lang w:val="it-IT"/>
        </w:rPr>
      </w:pPr>
      <w:r>
        <w:rPr>
          <w:lang w:val="it-IT"/>
        </w:rPr>
        <w:t>Y: vettore delle classi.</w:t>
      </w:r>
      <w:r>
        <w:rPr>
          <w:lang w:val="it-IT"/>
        </w:rPr>
        <w:br/>
      </w:r>
      <w:r w:rsidRPr="00A151C2">
        <w:rPr>
          <w:lang w:val="it-IT"/>
        </w:rPr>
        <w:t>Y==1 : RWPE1 (cellula n</w:t>
      </w:r>
      <w:r>
        <w:rPr>
          <w:lang w:val="it-IT"/>
        </w:rPr>
        <w:t>on neoplastica)</w:t>
      </w:r>
      <w:r>
        <w:rPr>
          <w:lang w:val="it-IT"/>
        </w:rPr>
        <w:br/>
        <w:t>Y==2 : LnCAP (cellula neoplastica)</w:t>
      </w:r>
      <w:r>
        <w:rPr>
          <w:lang w:val="it-IT"/>
        </w:rPr>
        <w:br/>
        <w:t xml:space="preserve">Y==3 : PC3 (cellula neoplastica </w:t>
      </w:r>
      <w:bookmarkStart w:id="0" w:name="_GoBack"/>
      <w:bookmarkEnd w:id="0"/>
      <w:r>
        <w:rPr>
          <w:lang w:val="it-IT"/>
        </w:rPr>
        <w:t>metastatica)</w:t>
      </w:r>
    </w:p>
    <w:p w14:paraId="59E13A46" w14:textId="77777777" w:rsidR="00A151C2" w:rsidRDefault="00A151C2">
      <w:pPr>
        <w:rPr>
          <w:lang w:val="it-IT"/>
        </w:rPr>
      </w:pPr>
      <w:r w:rsidRPr="00A151C2">
        <w:rPr>
          <w:lang w:val="it-IT"/>
        </w:rPr>
        <w:t xml:space="preserve">GTE:  </w:t>
      </w:r>
      <w:r>
        <w:rPr>
          <w:lang w:val="it-IT"/>
        </w:rPr>
        <w:t>Vettore progressivo indicante gli esperimenti (utile per la cross validazione)</w:t>
      </w:r>
    </w:p>
    <w:p w14:paraId="585CBBBB" w14:textId="77777777" w:rsidR="00A151C2" w:rsidRDefault="00A151C2" w:rsidP="00A151C2">
      <w:pPr>
        <w:rPr>
          <w:lang w:val="it-IT"/>
        </w:rPr>
      </w:pPr>
      <w:r>
        <w:rPr>
          <w:lang w:val="it-IT"/>
        </w:rPr>
        <w:t>M : matrice delle misure. Ogni riga corrisponde ad un campione ogni colonna ad una feature.</w:t>
      </w:r>
    </w:p>
    <w:p w14:paraId="769B5952" w14:textId="77777777" w:rsidR="00A151C2" w:rsidRDefault="00A151C2" w:rsidP="00A151C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Velocita lungo asse x </w:t>
      </w:r>
    </w:p>
    <w:p w14:paraId="168FE666" w14:textId="77777777" w:rsidR="00A151C2" w:rsidRDefault="00A151C2" w:rsidP="00A151C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Persistenza velocità lungo asse x</w:t>
      </w:r>
    </w:p>
    <w:p w14:paraId="29869074" w14:textId="098A95E2" w:rsidR="00A151C2" w:rsidRDefault="00A151C2" w:rsidP="00A151C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Velocita lungo asse </w:t>
      </w:r>
      <w:r>
        <w:rPr>
          <w:lang w:val="it-IT"/>
        </w:rPr>
        <w:t>y</w:t>
      </w:r>
    </w:p>
    <w:p w14:paraId="367D8DFC" w14:textId="77777777" w:rsidR="00A151C2" w:rsidRDefault="00A151C2" w:rsidP="00A151C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Persistenza velocità lungo asse </w:t>
      </w:r>
      <w:r>
        <w:rPr>
          <w:lang w:val="it-IT"/>
        </w:rPr>
        <w:t>y</w:t>
      </w:r>
    </w:p>
    <w:p w14:paraId="3FCE4C5E" w14:textId="77777777" w:rsidR="00A151C2" w:rsidRDefault="00A151C2" w:rsidP="00A151C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Media variazione di direzione tra un istante e il successivo</w:t>
      </w:r>
    </w:p>
    <w:p w14:paraId="729FF57E" w14:textId="77777777" w:rsidR="00A151C2" w:rsidRDefault="00A151C2" w:rsidP="00A151C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Persistenza del modulo della velocità</w:t>
      </w:r>
    </w:p>
    <w:p w14:paraId="107CDEF3" w14:textId="6F7B7BAD" w:rsidR="00A151C2" w:rsidRDefault="00A151C2" w:rsidP="00A151C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Persistenza della traiettoria</w:t>
      </w:r>
      <w:r w:rsidR="00FE4842">
        <w:rPr>
          <w:lang w:val="it-IT"/>
        </w:rPr>
        <w:t xml:space="preserve"> (dopo smoothing)</w:t>
      </w:r>
    </w:p>
    <w:p w14:paraId="3DDCDB18" w14:textId="5E5DC3F9" w:rsidR="00CD6036" w:rsidRPr="00CD6036" w:rsidRDefault="00A151C2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Persistenza dell</w:t>
      </w:r>
      <w:r w:rsidR="00CD6036">
        <w:rPr>
          <w:lang w:val="it-IT"/>
        </w:rPr>
        <w:t xml:space="preserve">a </w:t>
      </w:r>
      <w:r w:rsidR="00CD6036">
        <w:rPr>
          <w:lang w:val="it-IT"/>
        </w:rPr>
        <w:t>variazione di direzione tra un istante e il successivo</w:t>
      </w:r>
    </w:p>
    <w:p w14:paraId="3F220FC0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Media del modulo della velocità</w:t>
      </w:r>
    </w:p>
    <w:p w14:paraId="750EB62B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Deviazione standard </w:t>
      </w:r>
      <w:r>
        <w:rPr>
          <w:lang w:val="it-IT"/>
        </w:rPr>
        <w:t>del modulo della velocità</w:t>
      </w:r>
    </w:p>
    <w:p w14:paraId="6753621C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Skewness </w:t>
      </w:r>
      <w:r>
        <w:rPr>
          <w:lang w:val="it-IT"/>
        </w:rPr>
        <w:t>del modulo della velocità</w:t>
      </w:r>
    </w:p>
    <w:p w14:paraId="15227F85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Kurtosis </w:t>
      </w:r>
      <w:r>
        <w:rPr>
          <w:lang w:val="it-IT"/>
        </w:rPr>
        <w:t>del modulo della velocità</w:t>
      </w:r>
    </w:p>
    <w:p w14:paraId="5B73CCC4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Entropia di Shannon </w:t>
      </w:r>
      <w:r>
        <w:rPr>
          <w:lang w:val="it-IT"/>
        </w:rPr>
        <w:t>del modulo della velocità</w:t>
      </w:r>
    </w:p>
    <w:p w14:paraId="603DDA96" w14:textId="3B4704FA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Media modulo velocità con derivate calcolate con differenze finite invece che tramite interpolazione.</w:t>
      </w:r>
    </w:p>
    <w:p w14:paraId="1F2CDED2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Media della curvatura</w:t>
      </w:r>
    </w:p>
    <w:p w14:paraId="63622B0B" w14:textId="7D1955DB" w:rsidR="00CD6036" w:rsidRP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Deviazione standard </w:t>
      </w:r>
      <w:r>
        <w:rPr>
          <w:lang w:val="it-IT"/>
        </w:rPr>
        <w:t>della curvatura</w:t>
      </w:r>
    </w:p>
    <w:p w14:paraId="481A3730" w14:textId="0FAE942B" w:rsidR="00CD6036" w:rsidRP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Skewness della curvatura</w:t>
      </w:r>
    </w:p>
    <w:p w14:paraId="1E764791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 w:rsidRPr="00CD6036">
        <w:rPr>
          <w:lang w:val="it-IT"/>
        </w:rPr>
        <w:t xml:space="preserve">Kurtosis </w:t>
      </w:r>
      <w:r>
        <w:rPr>
          <w:lang w:val="it-IT"/>
        </w:rPr>
        <w:t>della curvatura</w:t>
      </w:r>
    </w:p>
    <w:p w14:paraId="4967FC62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 w:rsidRPr="00CD6036">
        <w:rPr>
          <w:lang w:val="it-IT"/>
        </w:rPr>
        <w:t xml:space="preserve">Entropia di Shannon </w:t>
      </w:r>
      <w:r>
        <w:rPr>
          <w:lang w:val="it-IT"/>
        </w:rPr>
        <w:t>della curvatura</w:t>
      </w:r>
    </w:p>
    <w:p w14:paraId="62A7D31B" w14:textId="4EB1738E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Media della </w:t>
      </w:r>
      <w:r>
        <w:rPr>
          <w:lang w:val="it-IT"/>
        </w:rPr>
        <w:t>velocità angolare</w:t>
      </w:r>
    </w:p>
    <w:p w14:paraId="5B5A8E72" w14:textId="78F454D7" w:rsidR="00CD6036" w:rsidRP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Deviazione standard della velocità angolare</w:t>
      </w:r>
    </w:p>
    <w:p w14:paraId="3C178AE0" w14:textId="336B7A02" w:rsidR="00CD6036" w:rsidRP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Skewness della velocità angolare</w:t>
      </w:r>
    </w:p>
    <w:p w14:paraId="6E377695" w14:textId="1CAF7624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 w:rsidRPr="00CD6036">
        <w:rPr>
          <w:lang w:val="it-IT"/>
        </w:rPr>
        <w:t xml:space="preserve">Kurtosis </w:t>
      </w:r>
      <w:r>
        <w:rPr>
          <w:lang w:val="it-IT"/>
        </w:rPr>
        <w:t>della velocità angolare</w:t>
      </w:r>
    </w:p>
    <w:p w14:paraId="14ECBF2B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 w:rsidRPr="00CD6036">
        <w:rPr>
          <w:lang w:val="it-IT"/>
        </w:rPr>
        <w:t xml:space="preserve">Entropia di Shannon </w:t>
      </w:r>
      <w:r>
        <w:rPr>
          <w:lang w:val="it-IT"/>
        </w:rPr>
        <w:t>della velocità angolare</w:t>
      </w:r>
    </w:p>
    <w:p w14:paraId="5554F365" w14:textId="77777777" w:rsidR="00CD6036" w:rsidRDefault="00CD6036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Logaritmo di 4 volte il coefficiente di diffusione</w:t>
      </w:r>
    </w:p>
    <w:p w14:paraId="4F799A3A" w14:textId="3F210239" w:rsidR="00FE4842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Media del</w:t>
      </w:r>
      <w:r>
        <w:rPr>
          <w:lang w:val="it-IT"/>
        </w:rPr>
        <w:t xml:space="preserve"> Turning angle</w:t>
      </w:r>
    </w:p>
    <w:p w14:paraId="071E762B" w14:textId="3935BFC1" w:rsidR="00FE4842" w:rsidRPr="00CD6036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Deviazione standard del Turning angle</w:t>
      </w:r>
    </w:p>
    <w:p w14:paraId="36A813F5" w14:textId="4342B34F" w:rsidR="00FE4842" w:rsidRPr="00CD6036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Skewness del Turning angle</w:t>
      </w:r>
    </w:p>
    <w:p w14:paraId="69126AA7" w14:textId="37FB5817" w:rsidR="00FE4842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 w:rsidRPr="00CD6036">
        <w:rPr>
          <w:lang w:val="it-IT"/>
        </w:rPr>
        <w:t xml:space="preserve">Kurtosis </w:t>
      </w:r>
      <w:r>
        <w:rPr>
          <w:lang w:val="it-IT"/>
        </w:rPr>
        <w:t>del Turning angle</w:t>
      </w:r>
    </w:p>
    <w:p w14:paraId="029281E8" w14:textId="0611156E" w:rsidR="00FE4842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 w:rsidRPr="00CD6036">
        <w:rPr>
          <w:lang w:val="it-IT"/>
        </w:rPr>
        <w:t xml:space="preserve">Entropia di Shannon </w:t>
      </w:r>
      <w:r>
        <w:rPr>
          <w:lang w:val="it-IT"/>
        </w:rPr>
        <w:t>del Turning angle</w:t>
      </w:r>
    </w:p>
    <w:p w14:paraId="27786C69" w14:textId="0E660B09" w:rsidR="00FE4842" w:rsidRDefault="00FE4842" w:rsidP="00CD6036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Persistenza traiettoria (senza smoothing)</w:t>
      </w:r>
    </w:p>
    <w:p w14:paraId="75A3DB78" w14:textId="4D12BC44" w:rsidR="00FE4842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Media del</w:t>
      </w:r>
      <w:r>
        <w:rPr>
          <w:lang w:val="it-IT"/>
        </w:rPr>
        <w:t>lo scostamento dal centro della traiettoria</w:t>
      </w:r>
    </w:p>
    <w:p w14:paraId="2A2789D3" w14:textId="015D6E16" w:rsidR="00FE4842" w:rsidRPr="00CD6036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Deviazione standard dello scostamento dal centro della traiettoria</w:t>
      </w:r>
    </w:p>
    <w:p w14:paraId="49DF279D" w14:textId="6DEC932E" w:rsidR="00FE4842" w:rsidRPr="00CD6036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Skewness dello scostamento dal centro della traiettoria</w:t>
      </w:r>
    </w:p>
    <w:p w14:paraId="10FF8236" w14:textId="05EA8B67" w:rsidR="00FE4842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 w:rsidRPr="00CD6036">
        <w:rPr>
          <w:lang w:val="it-IT"/>
        </w:rPr>
        <w:t xml:space="preserve">Kurtosis </w:t>
      </w:r>
      <w:r>
        <w:rPr>
          <w:lang w:val="it-IT"/>
        </w:rPr>
        <w:t>dello scostamento dal centro della traiettoria</w:t>
      </w:r>
    </w:p>
    <w:p w14:paraId="353312BB" w14:textId="55E1DA1F" w:rsidR="00FE4842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 w:rsidRPr="00CD6036">
        <w:rPr>
          <w:lang w:val="it-IT"/>
        </w:rPr>
        <w:t xml:space="preserve">Entropia di Shannon </w:t>
      </w:r>
      <w:r>
        <w:rPr>
          <w:lang w:val="it-IT"/>
        </w:rPr>
        <w:t>dello scostamento dal centro della traiettoria</w:t>
      </w:r>
    </w:p>
    <w:p w14:paraId="5479C422" w14:textId="62B5175A" w:rsidR="00FE4842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lastRenderedPageBreak/>
        <w:t>Distanza massima percorsa</w:t>
      </w:r>
    </w:p>
    <w:p w14:paraId="584DC8FC" w14:textId="09027062" w:rsidR="00FE4842" w:rsidRDefault="00FE4842" w:rsidP="00FE4842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 xml:space="preserve">X media </w:t>
      </w:r>
    </w:p>
    <w:p w14:paraId="0F4BA8B7" w14:textId="53A6C0A2" w:rsidR="009E02F4" w:rsidRPr="009E02F4" w:rsidRDefault="00FE4842" w:rsidP="009E02F4">
      <w:pPr>
        <w:pStyle w:val="ListParagraph"/>
        <w:numPr>
          <w:ilvl w:val="0"/>
          <w:numId w:val="2"/>
        </w:numPr>
        <w:rPr>
          <w:lang w:val="it-IT"/>
        </w:rPr>
      </w:pPr>
      <w:r>
        <w:rPr>
          <w:lang w:val="it-IT"/>
        </w:rPr>
        <w:t>Y media</w:t>
      </w:r>
    </w:p>
    <w:p w14:paraId="7E3FB6A8" w14:textId="77777777" w:rsidR="009E02F4" w:rsidRDefault="009E02F4" w:rsidP="009E02F4">
      <w:pPr>
        <w:ind w:left="360"/>
        <w:rPr>
          <w:lang w:val="it-IT"/>
        </w:rPr>
      </w:pPr>
      <w:r>
        <w:rPr>
          <w:lang w:val="it-IT"/>
        </w:rPr>
        <w:t>Per ulteriori chiarimenti riguardo la natura delle features consultare</w:t>
      </w:r>
    </w:p>
    <w:p w14:paraId="6D4F4DC7" w14:textId="77777777" w:rsidR="009E02F4" w:rsidRPr="00833CA7" w:rsidRDefault="009E02F4" w:rsidP="009E02F4">
      <w:pPr>
        <w:ind w:left="360"/>
        <w:rPr>
          <w:lang w:val="it-IT"/>
        </w:rPr>
      </w:pPr>
      <w:r w:rsidRPr="00833CA7">
        <w:rPr>
          <w:rFonts w:ascii="Calibri" w:hAnsi="Calibri" w:cs="Calibri"/>
          <w:noProof/>
          <w:szCs w:val="24"/>
          <w:lang w:val="it-IT"/>
        </w:rPr>
        <w:t xml:space="preserve">D. Di Giuseppe, F. Corsi, A. Mencattini, M.C. Comes, P. Casti, C. Di Natale, L. Ghibelli, E. Martinelli, Learning Cancer-Related Drug Efficacy Exploiting Consensus in Coordinated Motility Within Cell Clusters, IEEE Trans. </w:t>
      </w:r>
      <w:r w:rsidRPr="004C6BEF">
        <w:rPr>
          <w:rFonts w:ascii="Calibri" w:hAnsi="Calibri" w:cs="Calibri"/>
          <w:noProof/>
          <w:szCs w:val="24"/>
        </w:rPr>
        <w:t>Biomed. Eng. 66 (2019) 2882–2888. https://doi.org/10.1109/tbme.2019.2897825.</w:t>
      </w:r>
    </w:p>
    <w:p w14:paraId="274E3478" w14:textId="77777777" w:rsidR="009E02F4" w:rsidRPr="009E02F4" w:rsidRDefault="009E02F4" w:rsidP="009E02F4">
      <w:pPr>
        <w:ind w:left="360"/>
        <w:rPr>
          <w:lang w:val="it-IT"/>
        </w:rPr>
      </w:pPr>
    </w:p>
    <w:p w14:paraId="61D74D1D" w14:textId="5DE45421" w:rsidR="003A2B0A" w:rsidRDefault="003A2B0A" w:rsidP="003A2B0A">
      <w:pPr>
        <w:ind w:left="360"/>
        <w:rPr>
          <w:lang w:val="it-IT"/>
        </w:rPr>
      </w:pPr>
      <w:r>
        <w:rPr>
          <w:lang w:val="it-IT"/>
        </w:rPr>
        <w:t>Buon lavoro!</w:t>
      </w:r>
    </w:p>
    <w:p w14:paraId="5340EFDC" w14:textId="77777777" w:rsidR="003A2B0A" w:rsidRPr="003A2B0A" w:rsidRDefault="003A2B0A" w:rsidP="003A2B0A">
      <w:pPr>
        <w:ind w:left="360"/>
        <w:rPr>
          <w:lang w:val="it-IT"/>
        </w:rPr>
      </w:pPr>
    </w:p>
    <w:p w14:paraId="54895310" w14:textId="52627D94" w:rsidR="004F4591" w:rsidRPr="00CD6036" w:rsidRDefault="00A151C2" w:rsidP="00FE4842">
      <w:pPr>
        <w:pStyle w:val="ListParagraph"/>
        <w:rPr>
          <w:lang w:val="it-IT"/>
        </w:rPr>
      </w:pPr>
      <w:r w:rsidRPr="00CD6036">
        <w:rPr>
          <w:lang w:val="it-IT"/>
        </w:rPr>
        <w:br/>
      </w:r>
    </w:p>
    <w:sectPr w:rsidR="004F4591" w:rsidRPr="00CD6036">
      <w:pgSz w:w="12240" w:h="15840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975D57"/>
    <w:multiLevelType w:val="hybridMultilevel"/>
    <w:tmpl w:val="B21C4A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7D6B69"/>
    <w:multiLevelType w:val="hybridMultilevel"/>
    <w:tmpl w:val="C98EE9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1C2"/>
    <w:rsid w:val="0032096D"/>
    <w:rsid w:val="003A2B0A"/>
    <w:rsid w:val="004F4591"/>
    <w:rsid w:val="0064739E"/>
    <w:rsid w:val="00833CA7"/>
    <w:rsid w:val="009E02F4"/>
    <w:rsid w:val="00A151C2"/>
    <w:rsid w:val="00CD6036"/>
    <w:rsid w:val="00FE4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0067E4"/>
  <w15:chartTrackingRefBased/>
  <w15:docId w15:val="{4A6FA956-13CB-45B0-A686-BC36651E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51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D'Orazio</dc:creator>
  <cp:keywords/>
  <dc:description/>
  <cp:lastModifiedBy>Michele D'Orazio</cp:lastModifiedBy>
  <cp:revision>3</cp:revision>
  <dcterms:created xsi:type="dcterms:W3CDTF">2020-01-13T16:08:00Z</dcterms:created>
  <dcterms:modified xsi:type="dcterms:W3CDTF">2020-01-13T16:09:00Z</dcterms:modified>
</cp:coreProperties>
</file>