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合同编号：20200710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甲方：高银集团有限公司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巴旦木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2000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：12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：24000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高银集团有限公司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