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681A" w:rsidRPr="006E681A" w:rsidRDefault="006E681A" w:rsidP="006E681A">
      <w:pPr>
        <w:rPr>
          <w:lang w:val="es-VE"/>
        </w:rPr>
      </w:pPr>
      <w:r w:rsidRPr="006E681A">
        <w:rPr>
          <w:lang w:val="es-VE"/>
        </w:rPr>
        <mc:AlternateContent>
          <mc:Choice Requires="wps">
            <w:drawing>
              <wp:anchor distT="0" distB="0" distL="114300" distR="114300" simplePos="0" relativeHeight="251669504" behindDoc="0" locked="0" layoutInCell="1" allowOverlap="1" wp14:anchorId="406CE6A6" wp14:editId="2CD94825">
                <wp:simplePos x="0" y="0"/>
                <wp:positionH relativeFrom="column">
                  <wp:posOffset>5140960</wp:posOffset>
                </wp:positionH>
                <wp:positionV relativeFrom="paragraph">
                  <wp:posOffset>-486410</wp:posOffset>
                </wp:positionV>
                <wp:extent cx="821055" cy="862965"/>
                <wp:effectExtent l="0" t="0" r="635" b="1270"/>
                <wp:wrapNone/>
                <wp:docPr id="25" name="Cuadro de texto 25">
                  <a:hlinkClick xmlns:a="http://schemas.openxmlformats.org/drawingml/2006/main" r:id="rId4"/>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1055" cy="862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E681A" w:rsidRDefault="006E681A" w:rsidP="006E681A">
                            <w:pPr>
                              <w:rPr>
                                <w:lang w:val="es-ES"/>
                              </w:rPr>
                            </w:pPr>
                            <w:r>
                              <w:rPr>
                                <w:noProof/>
                                <w:lang w:eastAsia="es-VE"/>
                              </w:rPr>
                              <w:drawing>
                                <wp:inline distT="0" distB="0" distL="0" distR="0" wp14:anchorId="74E1AB90" wp14:editId="107FAB5A">
                                  <wp:extent cx="638175" cy="6953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8175" cy="69532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406CE6A6" id="_x0000_t202" coordsize="21600,21600" o:spt="202" path="m,l,21600r21600,l21600,xe">
                <v:stroke joinstyle="miter"/>
                <v:path gradientshapeok="t" o:connecttype="rect"/>
              </v:shapetype>
              <v:shape id="Cuadro de texto 25" o:spid="_x0000_s1026" type="#_x0000_t202" href="#AAA" style="position:absolute;margin-left:404.8pt;margin-top:-38.3pt;width:64.65pt;height:67.95pt;z-index:251669504;visibility:visible;mso-wrap-style:non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" o:button="t" filled="f" stroked="f">
                <v:fill o:detectmouseclick="t"/>
                <v:textbox style="mso-fit-shape-to-text:t">
                  <w:txbxContent>
                    <w:p w:rsidR="006E681A" w:rsidRDefault="006E681A" w:rsidP="006E681A">
                      <w:pPr>
                        <w:rPr>
                          <w:lang w:val="es-ES"/>
                        </w:rPr>
                      </w:pPr>
                      <w:r>
                        <w:rPr>
                          <w:noProof/>
                          <w:lang w:eastAsia="es-VE"/>
                        </w:rPr>
                        <w:drawing>
                          <wp:inline distT="0" distB="0" distL="0" distR="0" wp14:anchorId="74E1AB90" wp14:editId="107FAB5A">
                            <wp:extent cx="638175" cy="6953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8175" cy="695325"/>
                                    </a:xfrm>
                                    <a:prstGeom prst="rect">
                                      <a:avLst/>
                                    </a:prstGeom>
                                    <a:noFill/>
                                    <a:ln>
                                      <a:noFill/>
                                    </a:ln>
                                  </pic:spPr>
                                </pic:pic>
                              </a:graphicData>
                            </a:graphic>
                          </wp:inline>
                        </w:drawing>
                      </w:r>
                    </w:p>
                  </w:txbxContent>
                </v:textbox>
              </v:shape>
            </w:pict>
          </mc:Fallback>
        </mc:AlternateContent>
      </w:r>
      <w:r w:rsidRPr="006E681A">
        <w:rPr>
          <w:lang w:val="es-VE"/>
        </w:rPr>
        <mc:AlternateContent>
          <mc:Choice Requires="wps">
            <w:drawing>
              <wp:anchor distT="0" distB="0" distL="114300" distR="114300" simplePos="0" relativeHeight="251664384" behindDoc="0" locked="0" layoutInCell="1" allowOverlap="1" wp14:anchorId="26B1851D" wp14:editId="034C82EE">
                <wp:simplePos x="0" y="0"/>
                <wp:positionH relativeFrom="column">
                  <wp:posOffset>-74930</wp:posOffset>
                </wp:positionH>
                <wp:positionV relativeFrom="paragraph">
                  <wp:posOffset>-104140</wp:posOffset>
                </wp:positionV>
                <wp:extent cx="2278380" cy="786765"/>
                <wp:effectExtent l="1270" t="635" r="1270" b="3175"/>
                <wp:wrapNone/>
                <wp:docPr id="23" name="Cuadro de texto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8380" cy="786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E681A" w:rsidRDefault="006E681A" w:rsidP="006E681A">
                            <w:pPr>
                              <w:rPr>
                                <w:lang w:val="es-ES"/>
                              </w:rPr>
                            </w:pPr>
                            <w:r w:rsidRPr="00BD301D">
                              <w:rPr>
                                <w:noProof/>
                                <w:lang w:eastAsia="es-VE"/>
                              </w:rPr>
                              <w:drawing>
                                <wp:inline distT="0" distB="0" distL="0" distR="0" wp14:anchorId="0CDD4EE0" wp14:editId="21279D2D">
                                  <wp:extent cx="2095500" cy="619125"/>
                                  <wp:effectExtent l="0" t="0" r="0" b="9525"/>
                                  <wp:docPr id="5" name="Imagen 5" descr="Logo definitivo SA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1" descr="Logo definitivo SAPI.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95500" cy="61912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26B1851D" id="Cuadro de texto 23" o:spid="_x0000_s1027" type="#_x0000_t202" style="position:absolute;margin-left:-5.9pt;margin-top:-8.2pt;width:179.4pt;height:61.95pt;z-index:251664384;visibility:visible;mso-wrap-style:non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" filled="f" stroked="f">
                <v:textbox style="mso-fit-shape-to-text:t">
                  <w:txbxContent>
                    <w:p w:rsidR="006E681A" w:rsidRDefault="006E681A" w:rsidP="006E681A">
                      <w:pPr>
                        <w:rPr>
                          <w:lang w:val="es-ES"/>
                        </w:rPr>
                      </w:pPr>
                      <w:r w:rsidRPr="00BD301D">
                        <w:rPr>
                          <w:noProof/>
                          <w:lang w:eastAsia="es-VE"/>
                        </w:rPr>
                        <w:drawing>
                          <wp:inline distT="0" distB="0" distL="0" distR="0" wp14:anchorId="0CDD4EE0" wp14:editId="21279D2D">
                            <wp:extent cx="2095500" cy="619125"/>
                            <wp:effectExtent l="0" t="0" r="0" b="9525"/>
                            <wp:docPr id="5" name="Imagen 5" descr="Logo definitivo SA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1" descr="Logo definitivo SAPI.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95500" cy="619125"/>
                                    </a:xfrm>
                                    <a:prstGeom prst="rect">
                                      <a:avLst/>
                                    </a:prstGeom>
                                    <a:noFill/>
                                    <a:ln>
                                      <a:noFill/>
                                    </a:ln>
                                  </pic:spPr>
                                </pic:pic>
                              </a:graphicData>
                            </a:graphic>
                          </wp:inline>
                        </w:drawing>
                      </w:r>
                    </w:p>
                  </w:txbxContent>
                </v:textbox>
              </v:shape>
            </w:pict>
          </mc:Fallback>
        </mc:AlternateContent>
      </w:r>
    </w:p>
    <w:p w:rsidR="00603A26" w:rsidRPr="006E681A" w:rsidRDefault="006E681A">
      <w:pPr>
        <w:rPr>
          <w:lang w:val="es-VE"/>
        </w:rPr>
      </w:pPr>
      <w:r w:rsidRPr="006E681A">
        <w:rPr>
          <w:lang w:val="es-VE"/>
        </w:rPr>
        <mc:AlternateContent>
          <mc:Choice Requires="wps">
            <w:drawing>
              <wp:anchor distT="0" distB="0" distL="114300" distR="114300" simplePos="0" relativeHeight="251646976" behindDoc="0" locked="0" layoutInCell="1" allowOverlap="1" wp14:anchorId="6E1525FC" wp14:editId="3C5F23AB">
                <wp:simplePos x="0" y="0"/>
                <wp:positionH relativeFrom="column">
                  <wp:posOffset>4619624</wp:posOffset>
                </wp:positionH>
                <wp:positionV relativeFrom="paragraph">
                  <wp:posOffset>516890</wp:posOffset>
                </wp:positionV>
                <wp:extent cx="1057275" cy="467360"/>
                <wp:effectExtent l="0" t="0" r="0" b="8890"/>
                <wp:wrapNone/>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467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E681A" w:rsidRPr="006634F5" w:rsidRDefault="006E681A" w:rsidP="006E681A">
                            <w:pPr>
                              <w:jc w:val="both"/>
                              <w:rPr>
                                <w:rFonts w:ascii="Arial" w:hAnsi="Arial" w:cs="Arial"/>
                                <w:b/>
                                <w:color w:val="1F497D"/>
                              </w:rPr>
                            </w:pPr>
                            <w:r>
                              <w:rPr>
                                <w:rFonts w:ascii="Arial" w:hAnsi="Arial" w:cs="Arial"/>
                                <w:b/>
                                <w:color w:val="1F497D"/>
                              </w:rPr>
                              <w:t>11</w:t>
                            </w:r>
                            <w:bookmarkStart w:id="0" w:name="_GoBack"/>
                            <w:r>
                              <w:rPr>
                                <w:rFonts w:ascii="Arial" w:hAnsi="Arial" w:cs="Arial"/>
                                <w:b/>
                                <w:color w:val="1F497D"/>
                              </w:rPr>
                              <w:t>/12</w:t>
                            </w:r>
                            <w:r>
                              <w:rPr>
                                <w:rFonts w:ascii="Arial" w:hAnsi="Arial" w:cs="Arial"/>
                                <w:b/>
                                <w:color w:val="1F497D"/>
                              </w:rPr>
                              <w:t>/2012</w:t>
                            </w:r>
                            <w:bookmarkEnd w:id="0"/>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1525FC" id="Cuadro de texto 9" o:spid="_x0000_s1028" type="#_x0000_t202" style="position:absolute;margin-left:363.75pt;margin-top:40.7pt;width:83.25pt;height:36.8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" filled="f" stroked="f">
                <v:textbox>
                  <w:txbxContent>
                    <w:p w:rsidR="006E681A" w:rsidRPr="006634F5" w:rsidRDefault="006E681A" w:rsidP="006E681A">
                      <w:pPr>
                        <w:jc w:val="both"/>
                        <w:rPr>
                          <w:rFonts w:ascii="Arial" w:hAnsi="Arial" w:cs="Arial"/>
                          <w:b/>
                          <w:color w:val="1F497D"/>
                        </w:rPr>
                      </w:pPr>
                      <w:r>
                        <w:rPr>
                          <w:rFonts w:ascii="Arial" w:hAnsi="Arial" w:cs="Arial"/>
                          <w:b/>
                          <w:color w:val="1F497D"/>
                        </w:rPr>
                        <w:t>11</w:t>
                      </w:r>
                      <w:bookmarkStart w:id="1" w:name="_GoBack"/>
                      <w:r>
                        <w:rPr>
                          <w:rFonts w:ascii="Arial" w:hAnsi="Arial" w:cs="Arial"/>
                          <w:b/>
                          <w:color w:val="1F497D"/>
                        </w:rPr>
                        <w:t>/12</w:t>
                      </w:r>
                      <w:r>
                        <w:rPr>
                          <w:rFonts w:ascii="Arial" w:hAnsi="Arial" w:cs="Arial"/>
                          <w:b/>
                          <w:color w:val="1F497D"/>
                        </w:rPr>
                        <w:t>/2012</w:t>
                      </w:r>
                      <w:bookmarkEnd w:id="1"/>
                    </w:p>
                  </w:txbxContent>
                </v:textbox>
              </v:shape>
            </w:pict>
          </mc:Fallback>
        </mc:AlternateContent>
      </w:r>
      <w:r w:rsidRPr="006E681A">
        <w:rPr>
          <w:lang w:val="es-VE"/>
        </w:rPr>
        <mc:AlternateContent>
          <mc:Choice Requires="wps">
            <w:drawing>
              <wp:anchor distT="0" distB="0" distL="114300" distR="114300" simplePos="0" relativeHeight="251671552" behindDoc="0" locked="0" layoutInCell="1" allowOverlap="1" wp14:anchorId="0F33A3DE" wp14:editId="4B223797">
                <wp:simplePos x="0" y="0"/>
                <wp:positionH relativeFrom="column">
                  <wp:posOffset>5274310</wp:posOffset>
                </wp:positionH>
                <wp:positionV relativeFrom="paragraph">
                  <wp:posOffset>7501890</wp:posOffset>
                </wp:positionV>
                <wp:extent cx="746125" cy="862330"/>
                <wp:effectExtent l="0" t="0" r="0" b="0"/>
                <wp:wrapNone/>
                <wp:docPr id="21" name="Cuadro de texto 21">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125" cy="862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E681A" w:rsidRDefault="006E681A" w:rsidP="006E681A">
                            <w:pPr>
                              <w:rPr>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F33A3DE" id="Cuadro de texto 21" o:spid="_x0000_s1029" type="#_x0000_t202" href="#_top" style="position:absolute;margin-left:415.3pt;margin-top:590.7pt;width:58.75pt;height:67.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" o:button="t" filled="f" stroked="f">
                <v:fill o:detectmouseclick="t"/>
                <v:textbox>
                  <w:txbxContent>
                    <w:p w:rsidR="006E681A" w:rsidRDefault="006E681A" w:rsidP="006E681A">
                      <w:pPr>
                        <w:rPr>
                          <w:lang w:val="es-ES"/>
                        </w:rPr>
                      </w:pPr>
                    </w:p>
                  </w:txbxContent>
                </v:textbox>
              </v:shape>
            </w:pict>
          </mc:Fallback>
        </mc:AlternateContent>
      </w:r>
      <w:r w:rsidRPr="006E681A">
        <w:rPr>
          <w:lang w:val="es-VE"/>
        </w:rPr>
        <mc:AlternateContent>
          <mc:Choice Requires="wps">
            <w:drawing>
              <wp:anchor distT="0" distB="0" distL="114300" distR="114300" simplePos="0" relativeHeight="251666432" behindDoc="0" locked="0" layoutInCell="1" allowOverlap="1" wp14:anchorId="7ABB81AE" wp14:editId="066AEAA6">
                <wp:simplePos x="0" y="0"/>
                <wp:positionH relativeFrom="column">
                  <wp:posOffset>562610</wp:posOffset>
                </wp:positionH>
                <wp:positionV relativeFrom="paragraph">
                  <wp:posOffset>5484495</wp:posOffset>
                </wp:positionV>
                <wp:extent cx="4666615" cy="1412240"/>
                <wp:effectExtent l="635" t="0" r="0" b="0"/>
                <wp:wrapNone/>
                <wp:docPr id="19" name="Cuadro de texto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6615" cy="1412240"/>
                        </a:xfrm>
                        <a:prstGeom prst="rect">
                          <a:avLst/>
                        </a:prstGeom>
                        <a:noFill/>
                        <a:ln>
                          <a:noFill/>
                        </a:ln>
                        <a:extLst>
                          <a:ext uri="{909E8E84-426E-40DD-AFC4-6F175D3DCCD1}">
                            <a14:hiddenFill xmlns:a14="http://schemas.microsoft.com/office/drawing/2010/main">
                              <a:solidFill>
                                <a:srgbClr val="FBD4B4"/>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E681A" w:rsidRPr="00FE6C2E" w:rsidRDefault="006E681A" w:rsidP="006E681A">
                            <w:pPr>
                              <w:jc w:val="center"/>
                              <w:rPr>
                                <w:rFonts w:ascii="Arial" w:hAnsi="Arial" w:cs="Arial"/>
                                <w:b/>
                                <w:color w:val="F79646"/>
                                <w:lang w:val="es-ES"/>
                              </w:rPr>
                            </w:pPr>
                            <w:r w:rsidRPr="00FE6C2E">
                              <w:rPr>
                                <w:rFonts w:ascii="Arial" w:hAnsi="Arial" w:cs="Arial"/>
                                <w:b/>
                                <w:color w:val="F79646"/>
                                <w:lang w:val="es-ES"/>
                              </w:rPr>
                              <w:t>NORMAS RELACIONADAS</w:t>
                            </w:r>
                          </w:p>
                          <w:p w:rsidR="006E681A" w:rsidRPr="00FE6C2E" w:rsidRDefault="006E681A" w:rsidP="006E681A">
                            <w:pPr>
                              <w:jc w:val="both"/>
                              <w:rPr>
                                <w:rFonts w:ascii="Arial" w:hAnsi="Arial" w:cs="Arial"/>
                                <w:b/>
                                <w:color w:val="F79646"/>
                                <w:lang w:val="es-ES"/>
                              </w:rPr>
                            </w:pPr>
                            <w:r w:rsidRPr="00FE6C2E">
                              <w:rPr>
                                <w:rFonts w:ascii="Arial" w:hAnsi="Arial" w:cs="Arial"/>
                                <w:b/>
                                <w:color w:val="F79646"/>
                                <w:lang w:val="es-ES"/>
                              </w:rPr>
                              <w:t>LOT:</w:t>
                            </w:r>
                            <w:r w:rsidR="009C5A44">
                              <w:rPr>
                                <w:rFonts w:ascii="Arial" w:hAnsi="Arial" w:cs="Arial"/>
                                <w:b/>
                                <w:color w:val="F79646"/>
                                <w:lang w:val="es-ES"/>
                              </w:rPr>
                              <w:t xml:space="preserve"> Artículo 133.</w:t>
                            </w:r>
                          </w:p>
                          <w:p w:rsidR="006E681A" w:rsidRDefault="009C5A44" w:rsidP="006E681A">
                            <w:pPr>
                              <w:jc w:val="both"/>
                              <w:rPr>
                                <w:rFonts w:ascii="Arial" w:hAnsi="Arial" w:cs="Arial"/>
                                <w:b/>
                                <w:color w:val="F79646"/>
                                <w:lang w:val="es-ES"/>
                              </w:rPr>
                            </w:pPr>
                            <w:r>
                              <w:rPr>
                                <w:rFonts w:ascii="Arial" w:hAnsi="Arial" w:cs="Arial"/>
                                <w:b/>
                                <w:color w:val="F79646"/>
                                <w:lang w:val="es-ES"/>
                              </w:rPr>
                              <w:t>COT: Artículo: 55.</w:t>
                            </w:r>
                          </w:p>
                          <w:p w:rsidR="009C5A44" w:rsidRPr="00FE6C2E" w:rsidRDefault="009C5A44" w:rsidP="006E681A">
                            <w:pPr>
                              <w:jc w:val="both"/>
                              <w:rPr>
                                <w:rFonts w:ascii="Arial" w:hAnsi="Arial" w:cs="Arial"/>
                                <w:color w:val="F79646"/>
                                <w:lang w:val="es-ES"/>
                              </w:rPr>
                            </w:pPr>
                            <w:r>
                              <w:rPr>
                                <w:rFonts w:ascii="Arial" w:hAnsi="Arial" w:cs="Arial"/>
                                <w:b/>
                                <w:color w:val="F79646"/>
                                <w:lang w:val="es-ES"/>
                              </w:rPr>
                              <w:t xml:space="preserve">LRPVH: Artículo 172. </w:t>
                            </w:r>
                          </w:p>
                          <w:p w:rsidR="006E681A" w:rsidRPr="00FE6C2E" w:rsidRDefault="006E681A" w:rsidP="006E681A">
                            <w:pPr>
                              <w:jc w:val="both"/>
                              <w:rPr>
                                <w:rFonts w:ascii="Arial" w:hAnsi="Arial" w:cs="Arial"/>
                                <w:color w:val="F79646"/>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ABB81AE" id="Cuadro de texto 19" o:spid="_x0000_s1030" type="#_x0000_t202" style="position:absolute;margin-left:44.3pt;margin-top:431.85pt;width:367.45pt;height:111.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" filled="f" fillcolor="#fbd4b4" stroked="f">
                <v:textbox>
                  <w:txbxContent>
                    <w:p w:rsidR="006E681A" w:rsidRPr="00FE6C2E" w:rsidRDefault="006E681A" w:rsidP="006E681A">
                      <w:pPr>
                        <w:jc w:val="center"/>
                        <w:rPr>
                          <w:rFonts w:ascii="Arial" w:hAnsi="Arial" w:cs="Arial"/>
                          <w:b/>
                          <w:color w:val="F79646"/>
                          <w:lang w:val="es-ES"/>
                        </w:rPr>
                      </w:pPr>
                      <w:r w:rsidRPr="00FE6C2E">
                        <w:rPr>
                          <w:rFonts w:ascii="Arial" w:hAnsi="Arial" w:cs="Arial"/>
                          <w:b/>
                          <w:color w:val="F79646"/>
                          <w:lang w:val="es-ES"/>
                        </w:rPr>
                        <w:t>NORMAS RELACIONADAS</w:t>
                      </w:r>
                    </w:p>
                    <w:p w:rsidR="006E681A" w:rsidRPr="00FE6C2E" w:rsidRDefault="006E681A" w:rsidP="006E681A">
                      <w:pPr>
                        <w:jc w:val="both"/>
                        <w:rPr>
                          <w:rFonts w:ascii="Arial" w:hAnsi="Arial" w:cs="Arial"/>
                          <w:b/>
                          <w:color w:val="F79646"/>
                          <w:lang w:val="es-ES"/>
                        </w:rPr>
                      </w:pPr>
                      <w:r w:rsidRPr="00FE6C2E">
                        <w:rPr>
                          <w:rFonts w:ascii="Arial" w:hAnsi="Arial" w:cs="Arial"/>
                          <w:b/>
                          <w:color w:val="F79646"/>
                          <w:lang w:val="es-ES"/>
                        </w:rPr>
                        <w:t>LOT:</w:t>
                      </w:r>
                      <w:r w:rsidR="009C5A44">
                        <w:rPr>
                          <w:rFonts w:ascii="Arial" w:hAnsi="Arial" w:cs="Arial"/>
                          <w:b/>
                          <w:color w:val="F79646"/>
                          <w:lang w:val="es-ES"/>
                        </w:rPr>
                        <w:t xml:space="preserve"> Artículo 133.</w:t>
                      </w:r>
                    </w:p>
                    <w:p w:rsidR="006E681A" w:rsidRDefault="009C5A44" w:rsidP="006E681A">
                      <w:pPr>
                        <w:jc w:val="both"/>
                        <w:rPr>
                          <w:rFonts w:ascii="Arial" w:hAnsi="Arial" w:cs="Arial"/>
                          <w:b/>
                          <w:color w:val="F79646"/>
                          <w:lang w:val="es-ES"/>
                        </w:rPr>
                      </w:pPr>
                      <w:r>
                        <w:rPr>
                          <w:rFonts w:ascii="Arial" w:hAnsi="Arial" w:cs="Arial"/>
                          <w:b/>
                          <w:color w:val="F79646"/>
                          <w:lang w:val="es-ES"/>
                        </w:rPr>
                        <w:t>COT: Artículo: 55.</w:t>
                      </w:r>
                    </w:p>
                    <w:p w:rsidR="009C5A44" w:rsidRPr="00FE6C2E" w:rsidRDefault="009C5A44" w:rsidP="006E681A">
                      <w:pPr>
                        <w:jc w:val="both"/>
                        <w:rPr>
                          <w:rFonts w:ascii="Arial" w:hAnsi="Arial" w:cs="Arial"/>
                          <w:color w:val="F79646"/>
                          <w:lang w:val="es-ES"/>
                        </w:rPr>
                      </w:pPr>
                      <w:r>
                        <w:rPr>
                          <w:rFonts w:ascii="Arial" w:hAnsi="Arial" w:cs="Arial"/>
                          <w:b/>
                          <w:color w:val="F79646"/>
                          <w:lang w:val="es-ES"/>
                        </w:rPr>
                        <w:t xml:space="preserve">LRPVH: Artículo 172. </w:t>
                      </w:r>
                    </w:p>
                    <w:p w:rsidR="006E681A" w:rsidRPr="00FE6C2E" w:rsidRDefault="006E681A" w:rsidP="006E681A">
                      <w:pPr>
                        <w:jc w:val="both"/>
                        <w:rPr>
                          <w:rFonts w:ascii="Arial" w:hAnsi="Arial" w:cs="Arial"/>
                          <w:color w:val="F79646"/>
                          <w:lang w:val="es-ES"/>
                        </w:rPr>
                      </w:pPr>
                    </w:p>
                  </w:txbxContent>
                </v:textbox>
              </v:shape>
            </w:pict>
          </mc:Fallback>
        </mc:AlternateContent>
      </w:r>
      <w:r w:rsidRPr="006E681A">
        <w:rPr>
          <w:lang w:val="es-VE"/>
        </w:rPr>
        <mc:AlternateContent>
          <mc:Choice Requires="wps">
            <w:drawing>
              <wp:anchor distT="0" distB="0" distL="114300" distR="114300" simplePos="0" relativeHeight="251655168" behindDoc="0" locked="0" layoutInCell="1" allowOverlap="1" wp14:anchorId="4EB88E49" wp14:editId="19377843">
                <wp:simplePos x="0" y="0"/>
                <wp:positionH relativeFrom="column">
                  <wp:posOffset>173355</wp:posOffset>
                </wp:positionH>
                <wp:positionV relativeFrom="paragraph">
                  <wp:posOffset>2196465</wp:posOffset>
                </wp:positionV>
                <wp:extent cx="5524500" cy="3359150"/>
                <wp:effectExtent l="1905" t="0" r="0" b="0"/>
                <wp:wrapNone/>
                <wp:docPr id="18" name="Cuadro de texto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0" cy="3359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E681A" w:rsidRPr="00380A0A" w:rsidRDefault="006E681A" w:rsidP="006E681A">
                            <w:pPr>
                              <w:jc w:val="center"/>
                              <w:rPr>
                                <w:rFonts w:ascii="Arial" w:hAnsi="Arial" w:cs="Arial"/>
                                <w:b/>
                                <w:color w:val="1F497D"/>
                                <w:sz w:val="32"/>
                                <w:szCs w:val="32"/>
                                <w:lang w:val="es-ES"/>
                              </w:rPr>
                            </w:pPr>
                            <w:r w:rsidRPr="00380A0A">
                              <w:rPr>
                                <w:rFonts w:ascii="Arial" w:hAnsi="Arial" w:cs="Arial"/>
                                <w:b/>
                                <w:color w:val="1F497D"/>
                                <w:sz w:val="32"/>
                                <w:szCs w:val="32"/>
                                <w:lang w:val="es-ES"/>
                              </w:rPr>
                              <w:t>RESUMEN</w:t>
                            </w:r>
                          </w:p>
                          <w:p w:rsidR="006E681A" w:rsidRPr="00380A0A" w:rsidRDefault="006E681A" w:rsidP="006E681A">
                            <w:pPr>
                              <w:jc w:val="center"/>
                              <w:rPr>
                                <w:rFonts w:ascii="Arial" w:hAnsi="Arial" w:cs="Arial"/>
                                <w:sz w:val="8"/>
                                <w:szCs w:val="8"/>
                                <w:lang w:val="es-ES"/>
                              </w:rPr>
                            </w:pPr>
                          </w:p>
                          <w:tbl>
                            <w:tblPr>
                              <w:tblW w:w="8472" w:type="dxa"/>
                              <w:tblBorders>
                                <w:top w:val="single" w:sz="8" w:space="0" w:color="4F81BD"/>
                                <w:bottom w:val="single" w:sz="8" w:space="0" w:color="4F81BD"/>
                              </w:tblBorders>
                              <w:tblLook w:val="04A0" w:firstRow="1" w:lastRow="0" w:firstColumn="1" w:lastColumn="0" w:noHBand="0" w:noVBand="1"/>
                            </w:tblPr>
                            <w:tblGrid>
                              <w:gridCol w:w="2518"/>
                              <w:gridCol w:w="5954"/>
                            </w:tblGrid>
                            <w:tr w:rsidR="006E681A" w:rsidRPr="00380A0A" w:rsidTr="00A87072">
                              <w:tc>
                                <w:tcPr>
                                  <w:tcW w:w="2518" w:type="dxa"/>
                                  <w:tcBorders>
                                    <w:top w:val="single" w:sz="8" w:space="0" w:color="4F81BD"/>
                                    <w:left w:val="nil"/>
                                    <w:bottom w:val="single" w:sz="8" w:space="0" w:color="4F81BD"/>
                                    <w:right w:val="nil"/>
                                  </w:tcBorders>
                                </w:tcPr>
                                <w:p w:rsidR="006E681A" w:rsidRPr="00380A0A" w:rsidRDefault="006E681A" w:rsidP="00380A0A">
                                  <w:pPr>
                                    <w:jc w:val="center"/>
                                    <w:rPr>
                                      <w:rFonts w:ascii="Arial" w:hAnsi="Arial" w:cs="Arial"/>
                                      <w:b/>
                                      <w:bCs/>
                                      <w:color w:val="1F497D"/>
                                      <w:lang w:val="es-ES"/>
                                    </w:rPr>
                                  </w:pPr>
                                  <w:r w:rsidRPr="00380A0A">
                                    <w:rPr>
                                      <w:rFonts w:ascii="Arial" w:hAnsi="Arial" w:cs="Arial"/>
                                      <w:b/>
                                      <w:bCs/>
                                      <w:color w:val="1F497D"/>
                                      <w:lang w:val="es-ES"/>
                                    </w:rPr>
                                    <w:t>MATERIA</w:t>
                                  </w:r>
                                </w:p>
                              </w:tc>
                              <w:tc>
                                <w:tcPr>
                                  <w:tcW w:w="5954" w:type="dxa"/>
                                  <w:tcBorders>
                                    <w:top w:val="single" w:sz="8" w:space="0" w:color="4F81BD"/>
                                    <w:left w:val="nil"/>
                                    <w:bottom w:val="single" w:sz="8" w:space="0" w:color="4F81BD"/>
                                    <w:right w:val="nil"/>
                                  </w:tcBorders>
                                </w:tcPr>
                                <w:p w:rsidR="006E681A" w:rsidRPr="00380A0A" w:rsidRDefault="006E681A" w:rsidP="00380A0A">
                                  <w:pPr>
                                    <w:jc w:val="center"/>
                                    <w:rPr>
                                      <w:rFonts w:ascii="Arial" w:hAnsi="Arial" w:cs="Arial"/>
                                      <w:b/>
                                      <w:bCs/>
                                      <w:color w:val="1F497D"/>
                                      <w:lang w:val="es-ES"/>
                                    </w:rPr>
                                  </w:pPr>
                                  <w:r w:rsidRPr="00380A0A">
                                    <w:rPr>
                                      <w:rFonts w:ascii="Arial" w:hAnsi="Arial" w:cs="Arial"/>
                                      <w:b/>
                                      <w:bCs/>
                                      <w:color w:val="1F497D"/>
                                      <w:lang w:val="es-ES"/>
                                    </w:rPr>
                                    <w:t>CRITERIO ESTABLECIDO</w:t>
                                  </w:r>
                                </w:p>
                              </w:tc>
                            </w:tr>
                            <w:tr w:rsidR="006E681A" w:rsidRPr="00380A0A" w:rsidTr="00A87072">
                              <w:tc>
                                <w:tcPr>
                                  <w:tcW w:w="2518" w:type="dxa"/>
                                  <w:tcBorders>
                                    <w:left w:val="nil"/>
                                    <w:right w:val="nil"/>
                                  </w:tcBorders>
                                  <w:shd w:val="clear" w:color="auto" w:fill="D3DFEE"/>
                                </w:tcPr>
                                <w:p w:rsidR="006E681A" w:rsidRDefault="007724FA" w:rsidP="007724FA">
                                  <w:pPr>
                                    <w:rPr>
                                      <w:rFonts w:ascii="Arial" w:hAnsi="Arial" w:cs="Arial"/>
                                      <w:b/>
                                      <w:bCs/>
                                      <w:color w:val="1F497D"/>
                                      <w:sz w:val="20"/>
                                      <w:szCs w:val="20"/>
                                      <w:lang w:val="es-ES"/>
                                    </w:rPr>
                                  </w:pPr>
                                  <w:r>
                                    <w:rPr>
                                      <w:rFonts w:ascii="Arial" w:hAnsi="Arial" w:cs="Arial"/>
                                      <w:b/>
                                      <w:bCs/>
                                      <w:color w:val="1F497D"/>
                                      <w:sz w:val="20"/>
                                      <w:szCs w:val="20"/>
                                      <w:lang w:val="es-ES"/>
                                    </w:rPr>
                                    <w:t xml:space="preserve">De la cuenta de ahorro obligatorio para la vivienda </w:t>
                                  </w:r>
                                  <w:r w:rsidR="00973ACF" w:rsidRPr="00973ACF">
                                    <w:rPr>
                                      <w:rFonts w:ascii="Arial" w:hAnsi="Arial" w:cs="Arial"/>
                                      <w:b/>
                                      <w:bCs/>
                                      <w:color w:val="1F497D"/>
                                      <w:sz w:val="20"/>
                                      <w:szCs w:val="20"/>
                                      <w:lang w:val="es-ES"/>
                                    </w:rPr>
                                    <w:t>(FAOV)</w:t>
                                  </w:r>
                                  <w:r>
                                    <w:rPr>
                                      <w:rFonts w:ascii="Arial" w:hAnsi="Arial" w:cs="Arial"/>
                                      <w:b/>
                                      <w:bCs/>
                                      <w:color w:val="1F497D"/>
                                      <w:sz w:val="20"/>
                                      <w:szCs w:val="20"/>
                                      <w:lang w:val="es-ES"/>
                                    </w:rPr>
                                    <w:t>.</w:t>
                                  </w:r>
                                </w:p>
                                <w:p w:rsidR="007724FA" w:rsidRPr="00380A0A" w:rsidRDefault="007724FA" w:rsidP="007724FA">
                                  <w:pPr>
                                    <w:rPr>
                                      <w:rFonts w:ascii="Arial" w:hAnsi="Arial" w:cs="Arial"/>
                                      <w:b/>
                                      <w:bCs/>
                                      <w:color w:val="1F497D"/>
                                      <w:sz w:val="20"/>
                                      <w:szCs w:val="20"/>
                                      <w:lang w:val="es-ES"/>
                                    </w:rPr>
                                  </w:pPr>
                                </w:p>
                              </w:tc>
                              <w:tc>
                                <w:tcPr>
                                  <w:tcW w:w="5954" w:type="dxa"/>
                                  <w:tcBorders>
                                    <w:left w:val="nil"/>
                                    <w:right w:val="nil"/>
                                  </w:tcBorders>
                                  <w:shd w:val="clear" w:color="auto" w:fill="D3DFEE"/>
                                </w:tcPr>
                                <w:p w:rsidR="006E681A" w:rsidRDefault="006E681A" w:rsidP="00380A0A">
                                  <w:pPr>
                                    <w:jc w:val="both"/>
                                    <w:rPr>
                                      <w:rFonts w:ascii="Arial" w:hAnsi="Arial" w:cs="Arial"/>
                                      <w:color w:val="1F497D"/>
                                      <w:sz w:val="20"/>
                                      <w:szCs w:val="20"/>
                                      <w:lang w:val="es-ES"/>
                                    </w:rPr>
                                  </w:pPr>
                                  <w:r w:rsidRPr="006E681A">
                                    <w:rPr>
                                      <w:rFonts w:ascii="Arial" w:hAnsi="Arial" w:cs="Arial"/>
                                      <w:color w:val="1F497D"/>
                                      <w:sz w:val="20"/>
                                      <w:szCs w:val="20"/>
                                      <w:lang w:val="es-ES"/>
                                    </w:rPr>
                                    <w:t>El aporte al Régimen Prestacional de Vivienda y Hábitat debe hacerse con base en el salario integral (con carácter retroactivo)</w:t>
                                  </w:r>
                                  <w:r>
                                    <w:rPr>
                                      <w:rFonts w:ascii="Arial" w:hAnsi="Arial" w:cs="Arial"/>
                                      <w:color w:val="1F497D"/>
                                      <w:sz w:val="20"/>
                                      <w:szCs w:val="20"/>
                                      <w:lang w:val="es-ES"/>
                                    </w:rPr>
                                    <w:t>.</w:t>
                                  </w:r>
                                </w:p>
                                <w:p w:rsidR="006E681A" w:rsidRPr="00380A0A" w:rsidRDefault="006E681A" w:rsidP="00380A0A">
                                  <w:pPr>
                                    <w:jc w:val="both"/>
                                    <w:rPr>
                                      <w:rFonts w:ascii="Arial" w:hAnsi="Arial" w:cs="Arial"/>
                                      <w:color w:val="1F497D"/>
                                      <w:sz w:val="20"/>
                                      <w:szCs w:val="20"/>
                                      <w:lang w:val="es-ES"/>
                                    </w:rPr>
                                  </w:pPr>
                                </w:p>
                              </w:tc>
                            </w:tr>
                            <w:tr w:rsidR="006E681A" w:rsidRPr="00380A0A" w:rsidTr="00A87072">
                              <w:tc>
                                <w:tcPr>
                                  <w:tcW w:w="2518" w:type="dxa"/>
                                </w:tcPr>
                                <w:p w:rsidR="006E681A" w:rsidRPr="00380A0A" w:rsidRDefault="00A87072" w:rsidP="00380A0A">
                                  <w:pPr>
                                    <w:jc w:val="both"/>
                                    <w:rPr>
                                      <w:rFonts w:ascii="Arial" w:hAnsi="Arial" w:cs="Arial"/>
                                      <w:b/>
                                      <w:bCs/>
                                      <w:color w:val="1F497D"/>
                                      <w:sz w:val="20"/>
                                      <w:szCs w:val="20"/>
                                      <w:lang w:val="es-ES"/>
                                    </w:rPr>
                                  </w:pPr>
                                  <w:r>
                                    <w:rPr>
                                      <w:rFonts w:ascii="Arial" w:hAnsi="Arial" w:cs="Arial"/>
                                      <w:b/>
                                      <w:bCs/>
                                      <w:color w:val="1F497D"/>
                                      <w:sz w:val="20"/>
                                      <w:szCs w:val="20"/>
                                      <w:lang w:val="es-ES"/>
                                    </w:rPr>
                                    <w:t>De la prescripción.</w:t>
                                  </w:r>
                                </w:p>
                              </w:tc>
                              <w:tc>
                                <w:tcPr>
                                  <w:tcW w:w="5954" w:type="dxa"/>
                                </w:tcPr>
                                <w:p w:rsidR="006E681A" w:rsidRDefault="006E681A" w:rsidP="00380A0A">
                                  <w:pPr>
                                    <w:jc w:val="both"/>
                                    <w:rPr>
                                      <w:rFonts w:ascii="Arial" w:hAnsi="Arial" w:cs="Arial"/>
                                      <w:color w:val="1F497D"/>
                                      <w:sz w:val="20"/>
                                      <w:szCs w:val="20"/>
                                      <w:lang w:val="es-ES"/>
                                    </w:rPr>
                                  </w:pPr>
                                  <w:r w:rsidRPr="006E681A">
                                    <w:rPr>
                                      <w:rFonts w:ascii="Arial" w:hAnsi="Arial" w:cs="Arial"/>
                                      <w:color w:val="1F497D"/>
                                      <w:sz w:val="20"/>
                                      <w:szCs w:val="20"/>
                                      <w:lang w:val="es-ES"/>
                                    </w:rPr>
                                    <w:t>Naturaleza imprescriptible de las obligaciones en materia de Vivienda y Hábitat.</w:t>
                                  </w:r>
                                </w:p>
                                <w:p w:rsidR="007724FA" w:rsidRPr="00380A0A" w:rsidRDefault="007724FA" w:rsidP="00380A0A">
                                  <w:pPr>
                                    <w:jc w:val="both"/>
                                    <w:rPr>
                                      <w:rFonts w:ascii="Arial" w:hAnsi="Arial" w:cs="Arial"/>
                                      <w:color w:val="1F497D"/>
                                      <w:sz w:val="20"/>
                                      <w:szCs w:val="20"/>
                                      <w:lang w:val="es-ES"/>
                                    </w:rPr>
                                  </w:pPr>
                                </w:p>
                              </w:tc>
                            </w:tr>
                            <w:tr w:rsidR="006E681A" w:rsidRPr="00380A0A" w:rsidTr="00A87072">
                              <w:tc>
                                <w:tcPr>
                                  <w:tcW w:w="2518" w:type="dxa"/>
                                  <w:tcBorders>
                                    <w:left w:val="nil"/>
                                    <w:right w:val="nil"/>
                                  </w:tcBorders>
                                  <w:shd w:val="clear" w:color="auto" w:fill="D3DFEE"/>
                                </w:tcPr>
                                <w:p w:rsidR="006E681A" w:rsidRPr="00380A0A" w:rsidRDefault="006E681A" w:rsidP="00380A0A">
                                  <w:pPr>
                                    <w:jc w:val="both"/>
                                    <w:rPr>
                                      <w:rFonts w:ascii="Arial" w:hAnsi="Arial" w:cs="Arial"/>
                                      <w:b/>
                                      <w:bCs/>
                                      <w:color w:val="1F497D"/>
                                      <w:sz w:val="20"/>
                                      <w:szCs w:val="20"/>
                                      <w:lang w:val="es-ES"/>
                                    </w:rPr>
                                  </w:pPr>
                                </w:p>
                                <w:p w:rsidR="006E681A" w:rsidRPr="00380A0A" w:rsidRDefault="006E681A" w:rsidP="00380A0A">
                                  <w:pPr>
                                    <w:jc w:val="both"/>
                                    <w:rPr>
                                      <w:rFonts w:ascii="Arial" w:hAnsi="Arial" w:cs="Arial"/>
                                      <w:b/>
                                      <w:bCs/>
                                      <w:color w:val="1F497D"/>
                                      <w:sz w:val="20"/>
                                      <w:szCs w:val="20"/>
                                      <w:lang w:val="es-ES"/>
                                    </w:rPr>
                                  </w:pPr>
                                </w:p>
                              </w:tc>
                              <w:tc>
                                <w:tcPr>
                                  <w:tcW w:w="5954" w:type="dxa"/>
                                  <w:tcBorders>
                                    <w:left w:val="nil"/>
                                    <w:right w:val="nil"/>
                                  </w:tcBorders>
                                  <w:shd w:val="clear" w:color="auto" w:fill="D3DFEE"/>
                                </w:tcPr>
                                <w:p w:rsidR="006E681A" w:rsidRDefault="006E681A" w:rsidP="00380A0A">
                                  <w:pPr>
                                    <w:jc w:val="both"/>
                                    <w:rPr>
                                      <w:rFonts w:ascii="Arial" w:hAnsi="Arial" w:cs="Arial"/>
                                      <w:color w:val="1F497D"/>
                                      <w:sz w:val="20"/>
                                      <w:szCs w:val="20"/>
                                      <w:lang w:val="es-ES"/>
                                    </w:rPr>
                                  </w:pPr>
                                </w:p>
                                <w:p w:rsidR="006E681A" w:rsidRPr="00380A0A" w:rsidRDefault="006E681A" w:rsidP="00380A0A">
                                  <w:pPr>
                                    <w:jc w:val="both"/>
                                    <w:rPr>
                                      <w:rFonts w:ascii="Arial" w:hAnsi="Arial" w:cs="Arial"/>
                                      <w:color w:val="1F497D"/>
                                      <w:sz w:val="20"/>
                                      <w:szCs w:val="20"/>
                                      <w:lang w:val="es-ES"/>
                                    </w:rPr>
                                  </w:pPr>
                                </w:p>
                              </w:tc>
                            </w:tr>
                          </w:tbl>
                          <w:p w:rsidR="006E681A" w:rsidRDefault="006E681A" w:rsidP="006E681A">
                            <w:pPr>
                              <w:rPr>
                                <w:lang w:val="es-E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EB88E49" id="Cuadro de texto 18" o:spid="_x0000_s1031" type="#_x0000_t202" style="position:absolute;margin-left:13.65pt;margin-top:172.95pt;width:435pt;height:26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" filled="f" stroked="f">
                <v:textbox>
                  <w:txbxContent>
                    <w:p w:rsidR="006E681A" w:rsidRPr="00380A0A" w:rsidRDefault="006E681A" w:rsidP="006E681A">
                      <w:pPr>
                        <w:jc w:val="center"/>
                        <w:rPr>
                          <w:rFonts w:ascii="Arial" w:hAnsi="Arial" w:cs="Arial"/>
                          <w:b/>
                          <w:color w:val="1F497D"/>
                          <w:sz w:val="32"/>
                          <w:szCs w:val="32"/>
                          <w:lang w:val="es-ES"/>
                        </w:rPr>
                      </w:pPr>
                      <w:r w:rsidRPr="00380A0A">
                        <w:rPr>
                          <w:rFonts w:ascii="Arial" w:hAnsi="Arial" w:cs="Arial"/>
                          <w:b/>
                          <w:color w:val="1F497D"/>
                          <w:sz w:val="32"/>
                          <w:szCs w:val="32"/>
                          <w:lang w:val="es-ES"/>
                        </w:rPr>
                        <w:t>RESUMEN</w:t>
                      </w:r>
                    </w:p>
                    <w:p w:rsidR="006E681A" w:rsidRPr="00380A0A" w:rsidRDefault="006E681A" w:rsidP="006E681A">
                      <w:pPr>
                        <w:jc w:val="center"/>
                        <w:rPr>
                          <w:rFonts w:ascii="Arial" w:hAnsi="Arial" w:cs="Arial"/>
                          <w:sz w:val="8"/>
                          <w:szCs w:val="8"/>
                          <w:lang w:val="es-ES"/>
                        </w:rPr>
                      </w:pPr>
                    </w:p>
                    <w:tbl>
                      <w:tblPr>
                        <w:tblW w:w="8472" w:type="dxa"/>
                        <w:tblBorders>
                          <w:top w:val="single" w:sz="8" w:space="0" w:color="4F81BD"/>
                          <w:bottom w:val="single" w:sz="8" w:space="0" w:color="4F81BD"/>
                        </w:tblBorders>
                        <w:tblLook w:val="04A0" w:firstRow="1" w:lastRow="0" w:firstColumn="1" w:lastColumn="0" w:noHBand="0" w:noVBand="1"/>
                      </w:tblPr>
                      <w:tblGrid>
                        <w:gridCol w:w="2518"/>
                        <w:gridCol w:w="5954"/>
                      </w:tblGrid>
                      <w:tr w:rsidR="006E681A" w:rsidRPr="00380A0A" w:rsidTr="00A87072">
                        <w:tc>
                          <w:tcPr>
                            <w:tcW w:w="2518" w:type="dxa"/>
                            <w:tcBorders>
                              <w:top w:val="single" w:sz="8" w:space="0" w:color="4F81BD"/>
                              <w:left w:val="nil"/>
                              <w:bottom w:val="single" w:sz="8" w:space="0" w:color="4F81BD"/>
                              <w:right w:val="nil"/>
                            </w:tcBorders>
                          </w:tcPr>
                          <w:p w:rsidR="006E681A" w:rsidRPr="00380A0A" w:rsidRDefault="006E681A" w:rsidP="00380A0A">
                            <w:pPr>
                              <w:jc w:val="center"/>
                              <w:rPr>
                                <w:rFonts w:ascii="Arial" w:hAnsi="Arial" w:cs="Arial"/>
                                <w:b/>
                                <w:bCs/>
                                <w:color w:val="1F497D"/>
                                <w:lang w:val="es-ES"/>
                              </w:rPr>
                            </w:pPr>
                            <w:r w:rsidRPr="00380A0A">
                              <w:rPr>
                                <w:rFonts w:ascii="Arial" w:hAnsi="Arial" w:cs="Arial"/>
                                <w:b/>
                                <w:bCs/>
                                <w:color w:val="1F497D"/>
                                <w:lang w:val="es-ES"/>
                              </w:rPr>
                              <w:t>MATERIA</w:t>
                            </w:r>
                          </w:p>
                        </w:tc>
                        <w:tc>
                          <w:tcPr>
                            <w:tcW w:w="5954" w:type="dxa"/>
                            <w:tcBorders>
                              <w:top w:val="single" w:sz="8" w:space="0" w:color="4F81BD"/>
                              <w:left w:val="nil"/>
                              <w:bottom w:val="single" w:sz="8" w:space="0" w:color="4F81BD"/>
                              <w:right w:val="nil"/>
                            </w:tcBorders>
                          </w:tcPr>
                          <w:p w:rsidR="006E681A" w:rsidRPr="00380A0A" w:rsidRDefault="006E681A" w:rsidP="00380A0A">
                            <w:pPr>
                              <w:jc w:val="center"/>
                              <w:rPr>
                                <w:rFonts w:ascii="Arial" w:hAnsi="Arial" w:cs="Arial"/>
                                <w:b/>
                                <w:bCs/>
                                <w:color w:val="1F497D"/>
                                <w:lang w:val="es-ES"/>
                              </w:rPr>
                            </w:pPr>
                            <w:r w:rsidRPr="00380A0A">
                              <w:rPr>
                                <w:rFonts w:ascii="Arial" w:hAnsi="Arial" w:cs="Arial"/>
                                <w:b/>
                                <w:bCs/>
                                <w:color w:val="1F497D"/>
                                <w:lang w:val="es-ES"/>
                              </w:rPr>
                              <w:t>CRITERIO ESTABLECIDO</w:t>
                            </w:r>
                          </w:p>
                        </w:tc>
                      </w:tr>
                      <w:tr w:rsidR="006E681A" w:rsidRPr="00380A0A" w:rsidTr="00A87072">
                        <w:tc>
                          <w:tcPr>
                            <w:tcW w:w="2518" w:type="dxa"/>
                            <w:tcBorders>
                              <w:left w:val="nil"/>
                              <w:right w:val="nil"/>
                            </w:tcBorders>
                            <w:shd w:val="clear" w:color="auto" w:fill="D3DFEE"/>
                          </w:tcPr>
                          <w:p w:rsidR="006E681A" w:rsidRDefault="007724FA" w:rsidP="007724FA">
                            <w:pPr>
                              <w:rPr>
                                <w:rFonts w:ascii="Arial" w:hAnsi="Arial" w:cs="Arial"/>
                                <w:b/>
                                <w:bCs/>
                                <w:color w:val="1F497D"/>
                                <w:sz w:val="20"/>
                                <w:szCs w:val="20"/>
                                <w:lang w:val="es-ES"/>
                              </w:rPr>
                            </w:pPr>
                            <w:r>
                              <w:rPr>
                                <w:rFonts w:ascii="Arial" w:hAnsi="Arial" w:cs="Arial"/>
                                <w:b/>
                                <w:bCs/>
                                <w:color w:val="1F497D"/>
                                <w:sz w:val="20"/>
                                <w:szCs w:val="20"/>
                                <w:lang w:val="es-ES"/>
                              </w:rPr>
                              <w:t xml:space="preserve">De la cuenta de ahorro obligatorio para la vivienda </w:t>
                            </w:r>
                            <w:r w:rsidR="00973ACF" w:rsidRPr="00973ACF">
                              <w:rPr>
                                <w:rFonts w:ascii="Arial" w:hAnsi="Arial" w:cs="Arial"/>
                                <w:b/>
                                <w:bCs/>
                                <w:color w:val="1F497D"/>
                                <w:sz w:val="20"/>
                                <w:szCs w:val="20"/>
                                <w:lang w:val="es-ES"/>
                              </w:rPr>
                              <w:t>(FAOV)</w:t>
                            </w:r>
                            <w:r>
                              <w:rPr>
                                <w:rFonts w:ascii="Arial" w:hAnsi="Arial" w:cs="Arial"/>
                                <w:b/>
                                <w:bCs/>
                                <w:color w:val="1F497D"/>
                                <w:sz w:val="20"/>
                                <w:szCs w:val="20"/>
                                <w:lang w:val="es-ES"/>
                              </w:rPr>
                              <w:t>.</w:t>
                            </w:r>
                          </w:p>
                          <w:p w:rsidR="007724FA" w:rsidRPr="00380A0A" w:rsidRDefault="007724FA" w:rsidP="007724FA">
                            <w:pPr>
                              <w:rPr>
                                <w:rFonts w:ascii="Arial" w:hAnsi="Arial" w:cs="Arial"/>
                                <w:b/>
                                <w:bCs/>
                                <w:color w:val="1F497D"/>
                                <w:sz w:val="20"/>
                                <w:szCs w:val="20"/>
                                <w:lang w:val="es-ES"/>
                              </w:rPr>
                            </w:pPr>
                          </w:p>
                        </w:tc>
                        <w:tc>
                          <w:tcPr>
                            <w:tcW w:w="5954" w:type="dxa"/>
                            <w:tcBorders>
                              <w:left w:val="nil"/>
                              <w:right w:val="nil"/>
                            </w:tcBorders>
                            <w:shd w:val="clear" w:color="auto" w:fill="D3DFEE"/>
                          </w:tcPr>
                          <w:p w:rsidR="006E681A" w:rsidRDefault="006E681A" w:rsidP="00380A0A">
                            <w:pPr>
                              <w:jc w:val="both"/>
                              <w:rPr>
                                <w:rFonts w:ascii="Arial" w:hAnsi="Arial" w:cs="Arial"/>
                                <w:color w:val="1F497D"/>
                                <w:sz w:val="20"/>
                                <w:szCs w:val="20"/>
                                <w:lang w:val="es-ES"/>
                              </w:rPr>
                            </w:pPr>
                            <w:r w:rsidRPr="006E681A">
                              <w:rPr>
                                <w:rFonts w:ascii="Arial" w:hAnsi="Arial" w:cs="Arial"/>
                                <w:color w:val="1F497D"/>
                                <w:sz w:val="20"/>
                                <w:szCs w:val="20"/>
                                <w:lang w:val="es-ES"/>
                              </w:rPr>
                              <w:t>El aporte al Régimen Prestacional de Vivienda y Hábitat debe hacerse con base en el salario integral (con carácter retroactivo)</w:t>
                            </w:r>
                            <w:r>
                              <w:rPr>
                                <w:rFonts w:ascii="Arial" w:hAnsi="Arial" w:cs="Arial"/>
                                <w:color w:val="1F497D"/>
                                <w:sz w:val="20"/>
                                <w:szCs w:val="20"/>
                                <w:lang w:val="es-ES"/>
                              </w:rPr>
                              <w:t>.</w:t>
                            </w:r>
                          </w:p>
                          <w:p w:rsidR="006E681A" w:rsidRPr="00380A0A" w:rsidRDefault="006E681A" w:rsidP="00380A0A">
                            <w:pPr>
                              <w:jc w:val="both"/>
                              <w:rPr>
                                <w:rFonts w:ascii="Arial" w:hAnsi="Arial" w:cs="Arial"/>
                                <w:color w:val="1F497D"/>
                                <w:sz w:val="20"/>
                                <w:szCs w:val="20"/>
                                <w:lang w:val="es-ES"/>
                              </w:rPr>
                            </w:pPr>
                          </w:p>
                        </w:tc>
                      </w:tr>
                      <w:tr w:rsidR="006E681A" w:rsidRPr="00380A0A" w:rsidTr="00A87072">
                        <w:tc>
                          <w:tcPr>
                            <w:tcW w:w="2518" w:type="dxa"/>
                          </w:tcPr>
                          <w:p w:rsidR="006E681A" w:rsidRPr="00380A0A" w:rsidRDefault="00A87072" w:rsidP="00380A0A">
                            <w:pPr>
                              <w:jc w:val="both"/>
                              <w:rPr>
                                <w:rFonts w:ascii="Arial" w:hAnsi="Arial" w:cs="Arial"/>
                                <w:b/>
                                <w:bCs/>
                                <w:color w:val="1F497D"/>
                                <w:sz w:val="20"/>
                                <w:szCs w:val="20"/>
                                <w:lang w:val="es-ES"/>
                              </w:rPr>
                            </w:pPr>
                            <w:r>
                              <w:rPr>
                                <w:rFonts w:ascii="Arial" w:hAnsi="Arial" w:cs="Arial"/>
                                <w:b/>
                                <w:bCs/>
                                <w:color w:val="1F497D"/>
                                <w:sz w:val="20"/>
                                <w:szCs w:val="20"/>
                                <w:lang w:val="es-ES"/>
                              </w:rPr>
                              <w:t>De la prescripción.</w:t>
                            </w:r>
                          </w:p>
                        </w:tc>
                        <w:tc>
                          <w:tcPr>
                            <w:tcW w:w="5954" w:type="dxa"/>
                          </w:tcPr>
                          <w:p w:rsidR="006E681A" w:rsidRDefault="006E681A" w:rsidP="00380A0A">
                            <w:pPr>
                              <w:jc w:val="both"/>
                              <w:rPr>
                                <w:rFonts w:ascii="Arial" w:hAnsi="Arial" w:cs="Arial"/>
                                <w:color w:val="1F497D"/>
                                <w:sz w:val="20"/>
                                <w:szCs w:val="20"/>
                                <w:lang w:val="es-ES"/>
                              </w:rPr>
                            </w:pPr>
                            <w:r w:rsidRPr="006E681A">
                              <w:rPr>
                                <w:rFonts w:ascii="Arial" w:hAnsi="Arial" w:cs="Arial"/>
                                <w:color w:val="1F497D"/>
                                <w:sz w:val="20"/>
                                <w:szCs w:val="20"/>
                                <w:lang w:val="es-ES"/>
                              </w:rPr>
                              <w:t>Naturaleza imprescriptible de las obligaciones en materia de Vivienda y Hábitat.</w:t>
                            </w:r>
                          </w:p>
                          <w:p w:rsidR="007724FA" w:rsidRPr="00380A0A" w:rsidRDefault="007724FA" w:rsidP="00380A0A">
                            <w:pPr>
                              <w:jc w:val="both"/>
                              <w:rPr>
                                <w:rFonts w:ascii="Arial" w:hAnsi="Arial" w:cs="Arial"/>
                                <w:color w:val="1F497D"/>
                                <w:sz w:val="20"/>
                                <w:szCs w:val="20"/>
                                <w:lang w:val="es-ES"/>
                              </w:rPr>
                            </w:pPr>
                          </w:p>
                        </w:tc>
                      </w:tr>
                      <w:tr w:rsidR="006E681A" w:rsidRPr="00380A0A" w:rsidTr="00A87072">
                        <w:tc>
                          <w:tcPr>
                            <w:tcW w:w="2518" w:type="dxa"/>
                            <w:tcBorders>
                              <w:left w:val="nil"/>
                              <w:right w:val="nil"/>
                            </w:tcBorders>
                            <w:shd w:val="clear" w:color="auto" w:fill="D3DFEE"/>
                          </w:tcPr>
                          <w:p w:rsidR="006E681A" w:rsidRPr="00380A0A" w:rsidRDefault="006E681A" w:rsidP="00380A0A">
                            <w:pPr>
                              <w:jc w:val="both"/>
                              <w:rPr>
                                <w:rFonts w:ascii="Arial" w:hAnsi="Arial" w:cs="Arial"/>
                                <w:b/>
                                <w:bCs/>
                                <w:color w:val="1F497D"/>
                                <w:sz w:val="20"/>
                                <w:szCs w:val="20"/>
                                <w:lang w:val="es-ES"/>
                              </w:rPr>
                            </w:pPr>
                          </w:p>
                          <w:p w:rsidR="006E681A" w:rsidRPr="00380A0A" w:rsidRDefault="006E681A" w:rsidP="00380A0A">
                            <w:pPr>
                              <w:jc w:val="both"/>
                              <w:rPr>
                                <w:rFonts w:ascii="Arial" w:hAnsi="Arial" w:cs="Arial"/>
                                <w:b/>
                                <w:bCs/>
                                <w:color w:val="1F497D"/>
                                <w:sz w:val="20"/>
                                <w:szCs w:val="20"/>
                                <w:lang w:val="es-ES"/>
                              </w:rPr>
                            </w:pPr>
                          </w:p>
                        </w:tc>
                        <w:tc>
                          <w:tcPr>
                            <w:tcW w:w="5954" w:type="dxa"/>
                            <w:tcBorders>
                              <w:left w:val="nil"/>
                              <w:right w:val="nil"/>
                            </w:tcBorders>
                            <w:shd w:val="clear" w:color="auto" w:fill="D3DFEE"/>
                          </w:tcPr>
                          <w:p w:rsidR="006E681A" w:rsidRDefault="006E681A" w:rsidP="00380A0A">
                            <w:pPr>
                              <w:jc w:val="both"/>
                              <w:rPr>
                                <w:rFonts w:ascii="Arial" w:hAnsi="Arial" w:cs="Arial"/>
                                <w:color w:val="1F497D"/>
                                <w:sz w:val="20"/>
                                <w:szCs w:val="20"/>
                                <w:lang w:val="es-ES"/>
                              </w:rPr>
                            </w:pPr>
                          </w:p>
                          <w:p w:rsidR="006E681A" w:rsidRPr="00380A0A" w:rsidRDefault="006E681A" w:rsidP="00380A0A">
                            <w:pPr>
                              <w:jc w:val="both"/>
                              <w:rPr>
                                <w:rFonts w:ascii="Arial" w:hAnsi="Arial" w:cs="Arial"/>
                                <w:color w:val="1F497D"/>
                                <w:sz w:val="20"/>
                                <w:szCs w:val="20"/>
                                <w:lang w:val="es-ES"/>
                              </w:rPr>
                            </w:pPr>
                          </w:p>
                        </w:tc>
                      </w:tr>
                    </w:tbl>
                    <w:p w:rsidR="006E681A" w:rsidRDefault="006E681A" w:rsidP="006E681A">
                      <w:pPr>
                        <w:rPr>
                          <w:lang w:val="es-ES"/>
                        </w:rPr>
                      </w:pPr>
                    </w:p>
                  </w:txbxContent>
                </v:textbox>
              </v:shape>
            </w:pict>
          </mc:Fallback>
        </mc:AlternateContent>
      </w:r>
      <w:r w:rsidRPr="006E681A">
        <w:rPr>
          <w:lang w:val="es-VE"/>
        </w:rPr>
        <mc:AlternateContent>
          <mc:Choice Requires="wps">
            <w:drawing>
              <wp:anchor distT="0" distB="0" distL="114300" distR="114300" simplePos="0" relativeHeight="251651072" behindDoc="0" locked="0" layoutInCell="1" allowOverlap="1" wp14:anchorId="000D71D8" wp14:editId="1ED5143B">
                <wp:simplePos x="0" y="0"/>
                <wp:positionH relativeFrom="column">
                  <wp:posOffset>4627245</wp:posOffset>
                </wp:positionH>
                <wp:positionV relativeFrom="paragraph">
                  <wp:posOffset>996315</wp:posOffset>
                </wp:positionV>
                <wp:extent cx="895350" cy="467360"/>
                <wp:effectExtent l="0" t="0" r="1905" b="3175"/>
                <wp:wrapNone/>
                <wp:docPr id="17" name="Cuadro de texto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467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E681A" w:rsidRPr="006634F5" w:rsidRDefault="006E681A" w:rsidP="006E681A">
                            <w:pPr>
                              <w:jc w:val="both"/>
                              <w:rPr>
                                <w:rFonts w:ascii="Arial" w:hAnsi="Arial" w:cs="Arial"/>
                                <w:b/>
                                <w:color w:val="1F497D"/>
                              </w:rPr>
                            </w:pPr>
                            <w:r>
                              <w:rPr>
                                <w:rFonts w:ascii="Arial" w:hAnsi="Arial" w:cs="Arial"/>
                                <w:b/>
                                <w:color w:val="1F497D"/>
                              </w:rPr>
                              <w:t>01527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0D71D8" id="Cuadro de texto 17" o:spid="_x0000_s1032" type="#_x0000_t202" style="position:absolute;margin-left:364.35pt;margin-top:78.45pt;width:70.5pt;height:36.8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" filled="f" stroked="f">
                <v:textbox>
                  <w:txbxContent>
                    <w:p w:rsidR="006E681A" w:rsidRPr="006634F5" w:rsidRDefault="006E681A" w:rsidP="006E681A">
                      <w:pPr>
                        <w:jc w:val="both"/>
                        <w:rPr>
                          <w:rFonts w:ascii="Arial" w:hAnsi="Arial" w:cs="Arial"/>
                          <w:b/>
                          <w:color w:val="1F497D"/>
                        </w:rPr>
                      </w:pPr>
                      <w:r>
                        <w:rPr>
                          <w:rFonts w:ascii="Arial" w:hAnsi="Arial" w:cs="Arial"/>
                          <w:b/>
                          <w:color w:val="1F497D"/>
                        </w:rPr>
                        <w:t>01527</w:t>
                      </w:r>
                    </w:p>
                  </w:txbxContent>
                </v:textbox>
              </v:shape>
            </w:pict>
          </mc:Fallback>
        </mc:AlternateContent>
      </w:r>
      <w:r w:rsidRPr="006E681A">
        <w:rPr>
          <w:lang w:val="es-VE"/>
        </w:rPr>
        <mc:AlternateContent>
          <mc:Choice Requires="wps">
            <w:drawing>
              <wp:anchor distT="0" distB="0" distL="114300" distR="114300" simplePos="0" relativeHeight="251653120" behindDoc="0" locked="0" layoutInCell="1" allowOverlap="1" wp14:anchorId="6F75EE14" wp14:editId="1A3B6A28">
                <wp:simplePos x="0" y="0"/>
                <wp:positionH relativeFrom="column">
                  <wp:posOffset>1051560</wp:posOffset>
                </wp:positionH>
                <wp:positionV relativeFrom="paragraph">
                  <wp:posOffset>1614805</wp:posOffset>
                </wp:positionV>
                <wp:extent cx="4548505" cy="648970"/>
                <wp:effectExtent l="3810" t="0" r="635" b="3175"/>
                <wp:wrapNone/>
                <wp:docPr id="16" name="Cuadro de texto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8505" cy="648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E681A" w:rsidRPr="006634F5" w:rsidRDefault="001D5A3B" w:rsidP="006E681A">
                            <w:pPr>
                              <w:jc w:val="both"/>
                              <w:rPr>
                                <w:rFonts w:ascii="Arial" w:hAnsi="Arial" w:cs="Arial"/>
                                <w:b/>
                                <w:color w:val="1F497D"/>
                              </w:rPr>
                            </w:pPr>
                            <w:r w:rsidRPr="006E681A">
                              <w:rPr>
                                <w:rFonts w:ascii="Arial" w:hAnsi="Arial" w:cs="Arial"/>
                                <w:b/>
                                <w:color w:val="1F497D"/>
                              </w:rPr>
                              <w:t>Banco Nacional De Vivienda Y Hábitat (Banavih)</w:t>
                            </w:r>
                            <w:r>
                              <w:rPr>
                                <w:rFonts w:ascii="Arial" w:hAnsi="Arial" w:cs="Arial"/>
                                <w:b/>
                                <w:color w:val="1F497D"/>
                              </w:rPr>
                              <w:t xml:space="preserve"> Contra </w:t>
                            </w:r>
                            <w:r w:rsidRPr="001D5A3B">
                              <w:rPr>
                                <w:rFonts w:ascii="Arial" w:hAnsi="Arial" w:cs="Arial"/>
                                <w:b/>
                                <w:bCs/>
                                <w:color w:val="1F497D"/>
                                <w:lang w:val="en-US"/>
                              </w:rPr>
                              <w:t>Acbl De Venezuela</w:t>
                            </w:r>
                            <w:r w:rsidRPr="001D5A3B">
                              <w:rPr>
                                <w:rFonts w:ascii="Arial" w:hAnsi="Arial" w:cs="Arial"/>
                                <w:b/>
                                <w:color w:val="1F497D"/>
                                <w:lang w:val="en-US"/>
                              </w:rPr>
                              <w:t xml:space="preserve">, </w:t>
                            </w:r>
                            <w:r w:rsidRPr="001D5A3B">
                              <w:rPr>
                                <w:rFonts w:ascii="Arial" w:hAnsi="Arial" w:cs="Arial"/>
                                <w:b/>
                                <w:bCs/>
                                <w:color w:val="1F497D"/>
                                <w:lang w:val="en-US"/>
                              </w:rPr>
                              <w:t>C.A.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75EE14" id="Cuadro de texto 16" o:spid="_x0000_s1033" type="#_x0000_t202" style="position:absolute;margin-left:82.8pt;margin-top:127.15pt;width:358.15pt;height:51.1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" filled="f" stroked="f">
                <v:textbox>
                  <w:txbxContent>
                    <w:p w:rsidR="006E681A" w:rsidRPr="006634F5" w:rsidRDefault="001D5A3B" w:rsidP="006E681A">
                      <w:pPr>
                        <w:jc w:val="both"/>
                        <w:rPr>
                          <w:rFonts w:ascii="Arial" w:hAnsi="Arial" w:cs="Arial"/>
                          <w:b/>
                          <w:color w:val="1F497D"/>
                        </w:rPr>
                      </w:pPr>
                      <w:r w:rsidRPr="006E681A">
                        <w:rPr>
                          <w:rFonts w:ascii="Arial" w:hAnsi="Arial" w:cs="Arial"/>
                          <w:b/>
                          <w:color w:val="1F497D"/>
                        </w:rPr>
                        <w:t>Banco Nacional De Vivienda Y Hábitat (Banavih)</w:t>
                      </w:r>
                      <w:r>
                        <w:rPr>
                          <w:rFonts w:ascii="Arial" w:hAnsi="Arial" w:cs="Arial"/>
                          <w:b/>
                          <w:color w:val="1F497D"/>
                        </w:rPr>
                        <w:t xml:space="preserve"> Contra </w:t>
                      </w:r>
                      <w:r w:rsidRPr="001D5A3B">
                        <w:rPr>
                          <w:rFonts w:ascii="Arial" w:hAnsi="Arial" w:cs="Arial"/>
                          <w:b/>
                          <w:bCs/>
                          <w:color w:val="1F497D"/>
                          <w:lang w:val="en-US"/>
                        </w:rPr>
                        <w:t>Acbl De Venezuela</w:t>
                      </w:r>
                      <w:r w:rsidRPr="001D5A3B">
                        <w:rPr>
                          <w:rFonts w:ascii="Arial" w:hAnsi="Arial" w:cs="Arial"/>
                          <w:b/>
                          <w:color w:val="1F497D"/>
                          <w:lang w:val="en-US"/>
                        </w:rPr>
                        <w:t xml:space="preserve">, </w:t>
                      </w:r>
                      <w:r w:rsidRPr="001D5A3B">
                        <w:rPr>
                          <w:rFonts w:ascii="Arial" w:hAnsi="Arial" w:cs="Arial"/>
                          <w:b/>
                          <w:bCs/>
                          <w:color w:val="1F497D"/>
                          <w:lang w:val="en-US"/>
                        </w:rPr>
                        <w:t>C.A.</w:t>
                      </w:r>
                    </w:p>
                  </w:txbxContent>
                </v:textbox>
              </v:shape>
            </w:pict>
          </mc:Fallback>
        </mc:AlternateContent>
      </w:r>
      <w:r w:rsidRPr="006E681A">
        <w:rPr>
          <w:lang w:val="es-VE"/>
        </w:rPr>
        <mc:AlternateContent>
          <mc:Choice Requires="wps">
            <w:drawing>
              <wp:anchor distT="0" distB="0" distL="114300" distR="114300" simplePos="0" relativeHeight="251649024" behindDoc="0" locked="0" layoutInCell="1" allowOverlap="1" wp14:anchorId="746441CA" wp14:editId="453CEA9A">
                <wp:simplePos x="0" y="0"/>
                <wp:positionH relativeFrom="column">
                  <wp:posOffset>1053465</wp:posOffset>
                </wp:positionH>
                <wp:positionV relativeFrom="paragraph">
                  <wp:posOffset>1044575</wp:posOffset>
                </wp:positionV>
                <wp:extent cx="2279015" cy="462280"/>
                <wp:effectExtent l="0" t="0" r="1270" b="0"/>
                <wp:wrapNone/>
                <wp:docPr id="15" name="Cuadro de texto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9015" cy="462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E681A" w:rsidRPr="006E681A" w:rsidRDefault="006E681A" w:rsidP="006E681A">
                            <w:pPr>
                              <w:jc w:val="both"/>
                              <w:rPr>
                                <w:rFonts w:ascii="Arial" w:hAnsi="Arial" w:cs="Arial"/>
                                <w:b/>
                                <w:color w:val="1F497D"/>
                                <w:sz w:val="20"/>
                              </w:rPr>
                            </w:pPr>
                            <w:r w:rsidRPr="006E681A">
                              <w:rPr>
                                <w:rFonts w:ascii="Arial" w:hAnsi="Arial" w:cs="Arial"/>
                                <w:b/>
                                <w:color w:val="1F497D"/>
                                <w:sz w:val="22"/>
                              </w:rPr>
                              <w:t>Evelyn Marrero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6441CA" id="Cuadro de texto 15" o:spid="_x0000_s1034" type="#_x0000_t202" style="position:absolute;margin-left:82.95pt;margin-top:82.25pt;width:179.45pt;height:36.4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" filled="f" stroked="f">
                <v:textbox>
                  <w:txbxContent>
                    <w:p w:rsidR="006E681A" w:rsidRPr="006E681A" w:rsidRDefault="006E681A" w:rsidP="006E681A">
                      <w:pPr>
                        <w:jc w:val="both"/>
                        <w:rPr>
                          <w:rFonts w:ascii="Arial" w:hAnsi="Arial" w:cs="Arial"/>
                          <w:b/>
                          <w:color w:val="1F497D"/>
                          <w:sz w:val="20"/>
                        </w:rPr>
                      </w:pPr>
                      <w:r w:rsidRPr="006E681A">
                        <w:rPr>
                          <w:rFonts w:ascii="Arial" w:hAnsi="Arial" w:cs="Arial"/>
                          <w:b/>
                          <w:color w:val="1F497D"/>
                          <w:sz w:val="22"/>
                        </w:rPr>
                        <w:t>Evelyn Marrero</w:t>
                      </w:r>
                    </w:p>
                  </w:txbxContent>
                </v:textbox>
              </v:shape>
            </w:pict>
          </mc:Fallback>
        </mc:AlternateContent>
      </w:r>
      <w:r w:rsidRPr="006E681A">
        <w:rPr>
          <w:lang w:val="es-VE"/>
        </w:rPr>
        <mc:AlternateContent>
          <mc:Choice Requires="wps">
            <w:drawing>
              <wp:anchor distT="0" distB="0" distL="114300" distR="114300" simplePos="0" relativeHeight="251660288" behindDoc="0" locked="0" layoutInCell="1" allowOverlap="1" wp14:anchorId="4D00F87A" wp14:editId="394934B1">
                <wp:simplePos x="0" y="0"/>
                <wp:positionH relativeFrom="column">
                  <wp:posOffset>3323590</wp:posOffset>
                </wp:positionH>
                <wp:positionV relativeFrom="paragraph">
                  <wp:posOffset>958215</wp:posOffset>
                </wp:positionV>
                <wp:extent cx="1402080" cy="672465"/>
                <wp:effectExtent l="0" t="0" r="1270" b="2540"/>
                <wp:wrapNone/>
                <wp:docPr id="14" name="Cuadro de texto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2080" cy="672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E681A" w:rsidRDefault="006E681A" w:rsidP="006E681A">
                            <w:pPr>
                              <w:rPr>
                                <w:lang w:val="es-ES"/>
                              </w:rPr>
                            </w:pPr>
                            <w:r>
                              <w:rPr>
                                <w:noProof/>
                                <w:lang w:eastAsia="es-VE"/>
                              </w:rPr>
                              <w:drawing>
                                <wp:inline distT="0" distB="0" distL="0" distR="0" wp14:anchorId="58DD047E" wp14:editId="320232D6">
                                  <wp:extent cx="1219200" cy="50482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0" cy="50482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4D00F87A" id="Cuadro de texto 14" o:spid="_x0000_s1035" type="#_x0000_t202" style="position:absolute;margin-left:261.7pt;margin-top:75.45pt;width:110.4pt;height:52.9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" filled="f" stroked="f">
                <v:textbox style="mso-fit-shape-to-text:t">
                  <w:txbxContent>
                    <w:p w:rsidR="006E681A" w:rsidRDefault="006E681A" w:rsidP="006E681A">
                      <w:pPr>
                        <w:rPr>
                          <w:lang w:val="es-ES"/>
                        </w:rPr>
                      </w:pPr>
                      <w:r>
                        <w:rPr>
                          <w:noProof/>
                          <w:lang w:eastAsia="es-VE"/>
                        </w:rPr>
                        <w:drawing>
                          <wp:inline distT="0" distB="0" distL="0" distR="0" wp14:anchorId="58DD047E" wp14:editId="320232D6">
                            <wp:extent cx="1219200" cy="50482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0" cy="504825"/>
                                    </a:xfrm>
                                    <a:prstGeom prst="rect">
                                      <a:avLst/>
                                    </a:prstGeom>
                                    <a:noFill/>
                                    <a:ln>
                                      <a:noFill/>
                                    </a:ln>
                                  </pic:spPr>
                                </pic:pic>
                              </a:graphicData>
                            </a:graphic>
                          </wp:inline>
                        </w:drawing>
                      </w:r>
                    </w:p>
                  </w:txbxContent>
                </v:textbox>
              </v:shape>
            </w:pict>
          </mc:Fallback>
        </mc:AlternateContent>
      </w:r>
      <w:r w:rsidRPr="006E681A">
        <w:rPr>
          <w:lang w:val="es-VE"/>
        </w:rPr>
        <mc:AlternateContent>
          <mc:Choice Requires="wps">
            <w:drawing>
              <wp:anchor distT="0" distB="0" distL="114300" distR="114300" simplePos="0" relativeHeight="251644928" behindDoc="0" locked="0" layoutInCell="1" allowOverlap="1" wp14:anchorId="48773202" wp14:editId="1FC64A0D">
                <wp:simplePos x="0" y="0"/>
                <wp:positionH relativeFrom="column">
                  <wp:posOffset>1024890</wp:posOffset>
                </wp:positionH>
                <wp:positionV relativeFrom="paragraph">
                  <wp:posOffset>504825</wp:posOffset>
                </wp:positionV>
                <wp:extent cx="2307590" cy="467360"/>
                <wp:effectExtent l="0" t="0" r="1270" b="0"/>
                <wp:wrapNone/>
                <wp:docPr id="12"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7590" cy="467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E681A" w:rsidRPr="006634F5" w:rsidRDefault="006E681A" w:rsidP="006E681A">
                            <w:pPr>
                              <w:rPr>
                                <w:rFonts w:ascii="Arial" w:hAnsi="Arial" w:cs="Arial"/>
                                <w:b/>
                                <w:color w:val="1F497D"/>
                              </w:rPr>
                            </w:pPr>
                            <w:r>
                              <w:rPr>
                                <w:rFonts w:ascii="Arial" w:hAnsi="Arial" w:cs="Arial"/>
                                <w:b/>
                                <w:color w:val="1F497D"/>
                              </w:rPr>
                              <w:t>Casación Política Administrativo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73202" id="Cuadro de texto 12" o:spid="_x0000_s1036" type="#_x0000_t202" style="position:absolute;margin-left:80.7pt;margin-top:39.75pt;width:181.7pt;height:36.8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" filled="f" stroked="f">
                <v:textbox>
                  <w:txbxContent>
                    <w:p w:rsidR="006E681A" w:rsidRPr="006634F5" w:rsidRDefault="006E681A" w:rsidP="006E681A">
                      <w:pPr>
                        <w:rPr>
                          <w:rFonts w:ascii="Arial" w:hAnsi="Arial" w:cs="Arial"/>
                          <w:b/>
                          <w:color w:val="1F497D"/>
                        </w:rPr>
                      </w:pPr>
                      <w:r>
                        <w:rPr>
                          <w:rFonts w:ascii="Arial" w:hAnsi="Arial" w:cs="Arial"/>
                          <w:b/>
                          <w:color w:val="1F497D"/>
                        </w:rPr>
                        <w:t>Casación Política Administrativo</w:t>
                      </w:r>
                    </w:p>
                  </w:txbxContent>
                </v:textbox>
              </v:shape>
            </w:pict>
          </mc:Fallback>
        </mc:AlternateContent>
      </w:r>
      <w:r w:rsidRPr="006E681A">
        <w:rPr>
          <w:lang w:val="es-VE"/>
        </w:rPr>
        <mc:AlternateContent>
          <mc:Choice Requires="wps">
            <w:drawing>
              <wp:anchor distT="0" distB="0" distL="114300" distR="114300" simplePos="0" relativeHeight="251658240" behindDoc="0" locked="0" layoutInCell="1" allowOverlap="1" wp14:anchorId="1513879A" wp14:editId="2945DF3C">
                <wp:simplePos x="0" y="0"/>
                <wp:positionH relativeFrom="column">
                  <wp:posOffset>3332480</wp:posOffset>
                </wp:positionH>
                <wp:positionV relativeFrom="paragraph">
                  <wp:posOffset>490855</wp:posOffset>
                </wp:positionV>
                <wp:extent cx="1402080" cy="624840"/>
                <wp:effectExtent l="0" t="0" r="1270" b="0"/>
                <wp:wrapNone/>
                <wp:docPr id="11"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2080" cy="624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E681A" w:rsidRDefault="006E681A" w:rsidP="006E681A">
                            <w:pPr>
                              <w:rPr>
                                <w:lang w:val="es-ES"/>
                              </w:rPr>
                            </w:pPr>
                            <w:r>
                              <w:rPr>
                                <w:noProof/>
                                <w:lang w:eastAsia="es-VE"/>
                              </w:rPr>
                              <w:drawing>
                                <wp:inline distT="0" distB="0" distL="0" distR="0" wp14:anchorId="273C9255" wp14:editId="59C6854B">
                                  <wp:extent cx="1219200" cy="4572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45720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1513879A" id="Cuadro de texto 11" o:spid="_x0000_s1037" type="#_x0000_t202" style="position:absolute;margin-left:262.4pt;margin-top:38.65pt;width:110.4pt;height:49.2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" filled="f" stroked="f">
                <v:textbox style="mso-fit-shape-to-text:t">
                  <w:txbxContent>
                    <w:p w:rsidR="006E681A" w:rsidRDefault="006E681A" w:rsidP="006E681A">
                      <w:pPr>
                        <w:rPr>
                          <w:lang w:val="es-ES"/>
                        </w:rPr>
                      </w:pPr>
                      <w:r>
                        <w:rPr>
                          <w:noProof/>
                          <w:lang w:eastAsia="es-VE"/>
                        </w:rPr>
                        <w:drawing>
                          <wp:inline distT="0" distB="0" distL="0" distR="0" wp14:anchorId="273C9255" wp14:editId="59C6854B">
                            <wp:extent cx="1219200" cy="4572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457200"/>
                                    </a:xfrm>
                                    <a:prstGeom prst="rect">
                                      <a:avLst/>
                                    </a:prstGeom>
                                    <a:noFill/>
                                    <a:ln>
                                      <a:noFill/>
                                    </a:ln>
                                  </pic:spPr>
                                </pic:pic>
                              </a:graphicData>
                            </a:graphic>
                          </wp:inline>
                        </w:drawing>
                      </w:r>
                    </w:p>
                  </w:txbxContent>
                </v:textbox>
              </v:shape>
            </w:pict>
          </mc:Fallback>
        </mc:AlternateContent>
      </w:r>
      <w:r w:rsidRPr="006E681A">
        <w:rPr>
          <w:lang w:val="es-VE"/>
        </w:rPr>
        <mc:AlternateContent>
          <mc:Choice Requires="wps">
            <w:drawing>
              <wp:anchor distT="0" distB="0" distL="114300" distR="114300" simplePos="0" relativeHeight="251662336" behindDoc="0" locked="0" layoutInCell="1" allowOverlap="1" wp14:anchorId="5F50E0C1" wp14:editId="3CCB4606">
                <wp:simplePos x="0" y="0"/>
                <wp:positionH relativeFrom="column">
                  <wp:posOffset>-156845</wp:posOffset>
                </wp:positionH>
                <wp:positionV relativeFrom="paragraph">
                  <wp:posOffset>1499235</wp:posOffset>
                </wp:positionV>
                <wp:extent cx="1325880" cy="758190"/>
                <wp:effectExtent l="0" t="3810" r="0" b="3810"/>
                <wp:wrapNone/>
                <wp:docPr id="8"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5880" cy="758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E681A" w:rsidRDefault="006E681A" w:rsidP="006E681A">
                            <w:pPr>
                              <w:rPr>
                                <w:lang w:val="es-ES"/>
                              </w:rPr>
                            </w:pPr>
                            <w:r>
                              <w:rPr>
                                <w:noProof/>
                                <w:lang w:eastAsia="es-VE"/>
                              </w:rPr>
                              <w:drawing>
                                <wp:inline distT="0" distB="0" distL="0" distR="0" wp14:anchorId="1D158AAC" wp14:editId="5E759E6E">
                                  <wp:extent cx="1143000" cy="59055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0" cy="59055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F50E0C1" id="Cuadro de texto 8" o:spid="_x0000_s1038" type="#_x0000_t202" style="position:absolute;margin-left:-12.35pt;margin-top:118.05pt;width:104.4pt;height:59.7pt;z-index:251662336;visibility:visible;mso-wrap-style:non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" filled="f" stroked="f">
                <v:textbox style="mso-fit-shape-to-text:t">
                  <w:txbxContent>
                    <w:p w:rsidR="006E681A" w:rsidRDefault="006E681A" w:rsidP="006E681A">
                      <w:pPr>
                        <w:rPr>
                          <w:lang w:val="es-ES"/>
                        </w:rPr>
                      </w:pPr>
                      <w:r>
                        <w:rPr>
                          <w:noProof/>
                          <w:lang w:eastAsia="es-VE"/>
                        </w:rPr>
                        <w:drawing>
                          <wp:inline distT="0" distB="0" distL="0" distR="0" wp14:anchorId="1D158AAC" wp14:editId="5E759E6E">
                            <wp:extent cx="1143000" cy="59055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0" cy="590550"/>
                                    </a:xfrm>
                                    <a:prstGeom prst="rect">
                                      <a:avLst/>
                                    </a:prstGeom>
                                    <a:noFill/>
                                    <a:ln>
                                      <a:noFill/>
                                    </a:ln>
                                  </pic:spPr>
                                </pic:pic>
                              </a:graphicData>
                            </a:graphic>
                          </wp:inline>
                        </w:drawing>
                      </w:r>
                    </w:p>
                  </w:txbxContent>
                </v:textbox>
              </v:shape>
            </w:pict>
          </mc:Fallback>
        </mc:AlternateContent>
      </w:r>
      <w:r w:rsidRPr="006E681A">
        <w:rPr>
          <w:lang w:val="es-VE"/>
        </w:rPr>
        <mc:AlternateContent>
          <mc:Choice Requires="wps">
            <w:drawing>
              <wp:anchor distT="0" distB="0" distL="114300" distR="114300" simplePos="0" relativeHeight="251661312" behindDoc="0" locked="0" layoutInCell="1" allowOverlap="1" wp14:anchorId="5D4A1BF6" wp14:editId="7F1F86A7">
                <wp:simplePos x="0" y="0"/>
                <wp:positionH relativeFrom="column">
                  <wp:posOffset>-74930</wp:posOffset>
                </wp:positionH>
                <wp:positionV relativeFrom="paragraph">
                  <wp:posOffset>965200</wp:posOffset>
                </wp:positionV>
                <wp:extent cx="1202055" cy="672465"/>
                <wp:effectExtent l="1270" t="3175" r="0" b="0"/>
                <wp:wrapNone/>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2055" cy="672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E681A" w:rsidRDefault="006E681A" w:rsidP="006E681A">
                            <w:pPr>
                              <w:rPr>
                                <w:lang w:val="es-ES"/>
                              </w:rPr>
                            </w:pPr>
                            <w:r>
                              <w:rPr>
                                <w:noProof/>
                                <w:lang w:eastAsia="es-VE"/>
                              </w:rPr>
                              <w:drawing>
                                <wp:inline distT="0" distB="0" distL="0" distR="0" wp14:anchorId="10E9CE19" wp14:editId="74945FB5">
                                  <wp:extent cx="1019175" cy="504825"/>
                                  <wp:effectExtent l="0" t="0" r="9525"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19175" cy="50482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D4A1BF6" id="Cuadro de texto 6" o:spid="_x0000_s1039" type="#_x0000_t202" style="position:absolute;margin-left:-5.9pt;margin-top:76pt;width:94.65pt;height:52.95pt;z-index:251661312;visibility:visible;mso-wrap-style:non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" filled="f" stroked="f">
                <v:textbox style="mso-fit-shape-to-text:t">
                  <w:txbxContent>
                    <w:p w:rsidR="006E681A" w:rsidRDefault="006E681A" w:rsidP="006E681A">
                      <w:pPr>
                        <w:rPr>
                          <w:lang w:val="es-ES"/>
                        </w:rPr>
                      </w:pPr>
                      <w:r>
                        <w:rPr>
                          <w:noProof/>
                          <w:lang w:eastAsia="es-VE"/>
                        </w:rPr>
                        <w:drawing>
                          <wp:inline distT="0" distB="0" distL="0" distR="0" wp14:anchorId="10E9CE19" wp14:editId="74945FB5">
                            <wp:extent cx="1019175" cy="504825"/>
                            <wp:effectExtent l="0" t="0" r="9525"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19175" cy="504825"/>
                                    </a:xfrm>
                                    <a:prstGeom prst="rect">
                                      <a:avLst/>
                                    </a:prstGeom>
                                    <a:noFill/>
                                    <a:ln>
                                      <a:noFill/>
                                    </a:ln>
                                  </pic:spPr>
                                </pic:pic>
                              </a:graphicData>
                            </a:graphic>
                          </wp:inline>
                        </w:drawing>
                      </w:r>
                    </w:p>
                  </w:txbxContent>
                </v:textbox>
              </v:shape>
            </w:pict>
          </mc:Fallback>
        </mc:AlternateContent>
      </w:r>
      <w:r w:rsidRPr="006E681A">
        <w:rPr>
          <w:lang w:val="es-VE"/>
        </w:rPr>
        <mc:AlternateContent>
          <mc:Choice Requires="wps">
            <w:drawing>
              <wp:anchor distT="0" distB="0" distL="114300" distR="114300" simplePos="0" relativeHeight="251656192" behindDoc="0" locked="0" layoutInCell="1" allowOverlap="1" wp14:anchorId="777DB026" wp14:editId="2BDB88D5">
                <wp:simplePos x="0" y="0"/>
                <wp:positionH relativeFrom="column">
                  <wp:posOffset>-142240</wp:posOffset>
                </wp:positionH>
                <wp:positionV relativeFrom="paragraph">
                  <wp:posOffset>289560</wp:posOffset>
                </wp:positionV>
                <wp:extent cx="1354455" cy="901065"/>
                <wp:effectExtent l="635" t="3810" r="4445" b="0"/>
                <wp:wrapNone/>
                <wp:docPr id="4"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4455" cy="901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E681A" w:rsidRDefault="006E681A" w:rsidP="006E681A">
                            <w:pPr>
                              <w:rPr>
                                <w:lang w:val="es-ES"/>
                              </w:rPr>
                            </w:pPr>
                            <w:r>
                              <w:rPr>
                                <w:noProof/>
                                <w:lang w:eastAsia="es-VE"/>
                              </w:rPr>
                              <w:drawing>
                                <wp:inline distT="0" distB="0" distL="0" distR="0" wp14:anchorId="72BF0CFE" wp14:editId="2662533A">
                                  <wp:extent cx="1171575" cy="733425"/>
                                  <wp:effectExtent l="0" t="0" r="9525"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71575" cy="73342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777DB026" id="Cuadro de texto 4" o:spid="_x0000_s1040" type="#_x0000_t202" style="position:absolute;margin-left:-11.2pt;margin-top:22.8pt;width:106.65pt;height:70.95pt;z-index:2516561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" filled="f" stroked="f">
                <v:textbox style="mso-fit-shape-to-text:t">
                  <w:txbxContent>
                    <w:p w:rsidR="006E681A" w:rsidRDefault="006E681A" w:rsidP="006E681A">
                      <w:pPr>
                        <w:rPr>
                          <w:lang w:val="es-ES"/>
                        </w:rPr>
                      </w:pPr>
                      <w:r>
                        <w:rPr>
                          <w:noProof/>
                          <w:lang w:eastAsia="es-VE"/>
                        </w:rPr>
                        <w:drawing>
                          <wp:inline distT="0" distB="0" distL="0" distR="0" wp14:anchorId="72BF0CFE" wp14:editId="2662533A">
                            <wp:extent cx="1171575" cy="733425"/>
                            <wp:effectExtent l="0" t="0" r="9525"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71575" cy="733425"/>
                                    </a:xfrm>
                                    <a:prstGeom prst="rect">
                                      <a:avLst/>
                                    </a:prstGeom>
                                    <a:noFill/>
                                    <a:ln>
                                      <a:noFill/>
                                    </a:ln>
                                  </pic:spPr>
                                </pic:pic>
                              </a:graphicData>
                            </a:graphic>
                          </wp:inline>
                        </w:drawing>
                      </w:r>
                    </w:p>
                  </w:txbxContent>
                </v:textbox>
              </v:shape>
            </w:pict>
          </mc:Fallback>
        </mc:AlternateContent>
      </w:r>
      <w:r w:rsidRPr="006E681A">
        <w:rPr>
          <w:lang w:val="es-VE"/>
        </w:rPr>
        <w:drawing>
          <wp:inline distT="0" distB="0" distL="0" distR="0" wp14:anchorId="201D23EE" wp14:editId="18F81F0E">
            <wp:extent cx="6247130" cy="7920990"/>
            <wp:effectExtent l="0" t="0" r="127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47130" cy="7920990"/>
                    </a:xfrm>
                    <a:prstGeom prst="rect">
                      <a:avLst/>
                    </a:prstGeom>
                    <a:noFill/>
                  </pic:spPr>
                </pic:pic>
              </a:graphicData>
            </a:graphic>
          </wp:inline>
        </w:drawing>
      </w:r>
      <w:bookmarkStart w:id="2" w:name="AAA"/>
      <w:bookmarkEnd w:id="2"/>
    </w:p>
    <w:p w:rsidR="00603A26" w:rsidRPr="006E681A" w:rsidRDefault="00603A26">
      <w:pPr>
        <w:rPr>
          <w:rFonts w:ascii="Times New Roman" w:hAnsi="Times New Roman" w:cs="Times New Roman"/>
          <w:sz w:val="22"/>
          <w:szCs w:val="22"/>
        </w:rPr>
      </w:pPr>
    </w:p>
    <w:p w:rsidR="00603A26" w:rsidRPr="006E681A" w:rsidRDefault="00603A26">
      <w:pPr>
        <w:rPr>
          <w:rFonts w:ascii="Times New Roman" w:hAnsi="Times New Roman" w:cs="Times New Roman"/>
          <w:sz w:val="22"/>
          <w:szCs w:val="22"/>
        </w:rPr>
      </w:pPr>
    </w:p>
    <w:p w:rsidR="00603A26" w:rsidRPr="006E681A" w:rsidRDefault="00603A26">
      <w:pPr>
        <w:rPr>
          <w:rFonts w:ascii="Times New Roman" w:hAnsi="Times New Roman" w:cs="Times New Roman"/>
          <w:sz w:val="22"/>
          <w:szCs w:val="22"/>
        </w:rPr>
      </w:pPr>
    </w:p>
    <w:tbl>
      <w:tblPr>
        <w:tblW w:w="0" w:type="auto"/>
        <w:tblBorders>
          <w:top w:val="nil"/>
          <w:left w:val="nil"/>
          <w:right w:val="nil"/>
        </w:tblBorders>
        <w:tblLayout w:type="fixed"/>
        <w:tblLook w:val="0000" w:firstRow="0" w:lastRow="0" w:firstColumn="0" w:lastColumn="0" w:noHBand="0" w:noVBand="0"/>
      </w:tblPr>
      <w:tblGrid>
        <w:gridCol w:w="8472"/>
      </w:tblGrid>
      <w:tr w:rsidR="00603A26" w:rsidRPr="006E681A" w:rsidTr="00603A26">
        <w:tc>
          <w:tcPr>
            <w:tcW w:w="8472" w:type="dxa"/>
            <w:tcMar>
              <w:top w:w="20" w:type="nil"/>
              <w:left w:w="20" w:type="nil"/>
              <w:bottom w:w="20" w:type="nil"/>
              <w:right w:w="20" w:type="nil"/>
            </w:tcMar>
            <w:vAlign w:val="center"/>
          </w:tcPr>
          <w:p w:rsidR="00603A26" w:rsidRPr="006E681A" w:rsidRDefault="00603A26" w:rsidP="00603A26">
            <w:pPr>
              <w:widowControl w:val="0"/>
              <w:autoSpaceDE w:val="0"/>
              <w:autoSpaceDN w:val="0"/>
              <w:adjustRightInd w:val="0"/>
              <w:jc w:val="center"/>
              <w:rPr>
                <w:rFonts w:ascii="Times New Roman" w:hAnsi="Times New Roman" w:cs="Times New Roman"/>
                <w:sz w:val="22"/>
                <w:szCs w:val="22"/>
                <w:lang w:val="en-US"/>
              </w:rPr>
            </w:pPr>
            <w:r w:rsidRPr="006E681A">
              <w:rPr>
                <w:rFonts w:ascii="Times New Roman" w:hAnsi="Times New Roman" w:cs="Times New Roman"/>
                <w:noProof/>
                <w:sz w:val="22"/>
                <w:szCs w:val="22"/>
                <w:lang w:val="es-VE" w:eastAsia="es-VE"/>
              </w:rPr>
              <w:drawing>
                <wp:inline distT="0" distB="0" distL="0" distR="0" wp14:anchorId="57D6B460" wp14:editId="62D2AB34">
                  <wp:extent cx="3044190" cy="30556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4190" cy="3055620"/>
                          </a:xfrm>
                          <a:prstGeom prst="rect">
                            <a:avLst/>
                          </a:prstGeom>
                          <a:noFill/>
                          <a:ln>
                            <a:noFill/>
                          </a:ln>
                        </pic:spPr>
                      </pic:pic>
                    </a:graphicData>
                  </a:graphic>
                </wp:inline>
              </w:drawing>
            </w:r>
          </w:p>
        </w:tc>
      </w:tr>
    </w:tbl>
    <w:p w:rsidR="006E681A" w:rsidRDefault="006E681A" w:rsidP="00603A26">
      <w:pPr>
        <w:widowControl w:val="0"/>
        <w:autoSpaceDE w:val="0"/>
        <w:autoSpaceDN w:val="0"/>
        <w:adjustRightInd w:val="0"/>
        <w:jc w:val="center"/>
        <w:rPr>
          <w:rFonts w:ascii="Times New Roman" w:hAnsi="Times New Roman" w:cs="Times New Roman"/>
          <w:b/>
          <w:bCs/>
          <w:sz w:val="22"/>
          <w:szCs w:val="22"/>
          <w:lang w:val="en-US"/>
        </w:rPr>
      </w:pPr>
    </w:p>
    <w:p w:rsidR="00603A26" w:rsidRPr="006E681A" w:rsidRDefault="00603A26" w:rsidP="00603A26">
      <w:pPr>
        <w:widowControl w:val="0"/>
        <w:autoSpaceDE w:val="0"/>
        <w:autoSpaceDN w:val="0"/>
        <w:adjustRightInd w:val="0"/>
        <w:jc w:val="center"/>
        <w:rPr>
          <w:rFonts w:ascii="Times New Roman" w:hAnsi="Times New Roman" w:cs="Times New Roman"/>
          <w:sz w:val="22"/>
          <w:szCs w:val="22"/>
          <w:lang w:val="en-US"/>
        </w:rPr>
      </w:pPr>
      <w:r w:rsidRPr="006E681A">
        <w:rPr>
          <w:rFonts w:ascii="Times New Roman" w:hAnsi="Times New Roman" w:cs="Times New Roman"/>
          <w:b/>
          <w:bCs/>
          <w:sz w:val="22"/>
          <w:szCs w:val="22"/>
          <w:lang w:val="en-US"/>
        </w:rPr>
        <w:t>MAGISTRADA PONENTE: EVELYN MARRERO ORTÍZ</w:t>
      </w:r>
    </w:p>
    <w:p w:rsidR="00603A26" w:rsidRPr="006E681A" w:rsidRDefault="00603A26" w:rsidP="00603A26">
      <w:pPr>
        <w:widowControl w:val="0"/>
        <w:autoSpaceDE w:val="0"/>
        <w:autoSpaceDN w:val="0"/>
        <w:adjustRightInd w:val="0"/>
        <w:jc w:val="center"/>
        <w:rPr>
          <w:rFonts w:ascii="Times New Roman" w:hAnsi="Times New Roman" w:cs="Times New Roman"/>
          <w:sz w:val="22"/>
          <w:szCs w:val="22"/>
          <w:lang w:val="en-US"/>
        </w:rPr>
      </w:pPr>
      <w:r w:rsidRPr="006E681A">
        <w:rPr>
          <w:rFonts w:ascii="Times New Roman" w:hAnsi="Times New Roman" w:cs="Times New Roman"/>
          <w:b/>
          <w:bCs/>
          <w:sz w:val="22"/>
          <w:szCs w:val="22"/>
          <w:lang w:val="en-US"/>
        </w:rPr>
        <w:t>EXP. N° 2011-0711</w:t>
      </w:r>
    </w:p>
    <w:p w:rsidR="00603A26" w:rsidRPr="006E681A" w:rsidRDefault="00603A26" w:rsidP="00603A26">
      <w:pPr>
        <w:widowControl w:val="0"/>
        <w:autoSpaceDE w:val="0"/>
        <w:autoSpaceDN w:val="0"/>
        <w:adjustRightInd w:val="0"/>
        <w:jc w:val="center"/>
        <w:rPr>
          <w:rFonts w:ascii="Times New Roman" w:hAnsi="Times New Roman" w:cs="Times New Roman"/>
          <w:sz w:val="22"/>
          <w:szCs w:val="22"/>
          <w:lang w:val="en-US"/>
        </w:rPr>
      </w:pPr>
      <w:r w:rsidRPr="006E681A">
        <w:rPr>
          <w:rFonts w:ascii="Times New Roman" w:hAnsi="Times New Roman" w:cs="Times New Roman"/>
          <w:b/>
          <w:bCs/>
          <w:sz w:val="22"/>
          <w:szCs w:val="22"/>
          <w:lang w:val="en-US"/>
        </w:rPr>
        <w:t> </w:t>
      </w:r>
    </w:p>
    <w:p w:rsidR="00603A26" w:rsidRPr="006E681A" w:rsidRDefault="00603A26" w:rsidP="00603A26">
      <w:pPr>
        <w:widowControl w:val="0"/>
        <w:autoSpaceDE w:val="0"/>
        <w:autoSpaceDN w:val="0"/>
        <w:adjustRightInd w:val="0"/>
        <w:spacing w:after="2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Mediante Oficio Nro. 251/2011 de fecha 9 de junio de 2011 el Tribunal Superior Cuarto de lo Contencioso Tributario de la Circunscripción Judicial del Área Metropolitana de Caracas, remitió a esta Sala Político-Administrativa el expediente signado con letras y números AP41-U-2009-0000286 y el cuaderno separado distinguido con letras y números AF44-X-2010-000004 (ambos de la nomenclatura del aludido Tribunal), contentivos del recurso de apelación ejercido el 5 de abril de 2011 por la abogada Mirna Yasmín Olivier B., inscrita en el INPREABOGADO bajo el Nro. 127.913, actuando con el carácter de apoderada judicial del instituto autónomo </w:t>
      </w:r>
      <w:r w:rsidRPr="006E681A">
        <w:rPr>
          <w:rFonts w:ascii="Times New Roman" w:hAnsi="Times New Roman" w:cs="Times New Roman"/>
          <w:b/>
          <w:bCs/>
          <w:sz w:val="22"/>
          <w:szCs w:val="22"/>
          <w:lang w:val="en-US"/>
        </w:rPr>
        <w:t>BANCO NACIONAL DE VIVIENDA Y HÁBITAT (BANAVIH)</w:t>
      </w:r>
      <w:r w:rsidRPr="006E681A">
        <w:rPr>
          <w:rFonts w:ascii="Times New Roman" w:hAnsi="Times New Roman" w:cs="Times New Roman"/>
          <w:sz w:val="22"/>
          <w:szCs w:val="22"/>
          <w:lang w:val="en-US"/>
        </w:rPr>
        <w:t xml:space="preserve">, adscrito al Ministerio del Poder Popular con competencia en materia de Vivienda y Hábitat; representación que se desprende del instrumento poder que cursa a los folios 587 al 590 de la pieza Nro. 2 </w:t>
      </w:r>
      <w:proofErr w:type="gramStart"/>
      <w:r w:rsidRPr="006E681A">
        <w:rPr>
          <w:rFonts w:ascii="Times New Roman" w:hAnsi="Times New Roman" w:cs="Times New Roman"/>
          <w:sz w:val="22"/>
          <w:szCs w:val="22"/>
          <w:lang w:val="en-US"/>
        </w:rPr>
        <w:t>del</w:t>
      </w:r>
      <w:proofErr w:type="gramEnd"/>
      <w:r w:rsidRPr="006E681A">
        <w:rPr>
          <w:rFonts w:ascii="Times New Roman" w:hAnsi="Times New Roman" w:cs="Times New Roman"/>
          <w:sz w:val="22"/>
          <w:szCs w:val="22"/>
          <w:lang w:val="en-US"/>
        </w:rPr>
        <w:t xml:space="preserve"> expediente judicial, contra la sentencia definitiva Nro. 022/2011 dictada por el Tribunal remitente el 16 de marzo de 2011, que declaró con lugar el </w:t>
      </w:r>
      <w:r w:rsidRPr="006E681A">
        <w:rPr>
          <w:rFonts w:ascii="Times New Roman" w:hAnsi="Times New Roman" w:cs="Times New Roman"/>
          <w:i/>
          <w:iCs/>
          <w:sz w:val="22"/>
          <w:szCs w:val="22"/>
          <w:lang w:val="en-US"/>
        </w:rPr>
        <w:t>“recurso contencioso tributario”</w:t>
      </w:r>
      <w:r w:rsidRPr="006E681A">
        <w:rPr>
          <w:rFonts w:ascii="Times New Roman" w:hAnsi="Times New Roman" w:cs="Times New Roman"/>
          <w:sz w:val="22"/>
          <w:szCs w:val="22"/>
          <w:lang w:val="en-US"/>
        </w:rPr>
        <w:t xml:space="preserve"> interpuesto conjuntamente con solicitud de medida cautelar de suspensión de efectos el 15 de mayo de 2009, por el abogado Juan Carlos Balzan Pérez, inscrito en el INPREABOGADO bajo el Nro. 64.246, actuando con el carácter de apoderado judicial de la sociedad de comercio </w:t>
      </w:r>
      <w:r w:rsidRPr="006E681A">
        <w:rPr>
          <w:rFonts w:ascii="Times New Roman" w:hAnsi="Times New Roman" w:cs="Times New Roman"/>
          <w:b/>
          <w:bCs/>
          <w:sz w:val="22"/>
          <w:szCs w:val="22"/>
          <w:lang w:val="en-US"/>
        </w:rPr>
        <w:t>ACBL DE VENEZUELA</w:t>
      </w:r>
      <w:r w:rsidRPr="006E681A">
        <w:rPr>
          <w:rFonts w:ascii="Times New Roman" w:hAnsi="Times New Roman" w:cs="Times New Roman"/>
          <w:sz w:val="22"/>
          <w:szCs w:val="22"/>
          <w:lang w:val="en-US"/>
        </w:rPr>
        <w:t xml:space="preserve">, </w:t>
      </w:r>
      <w:r w:rsidRPr="006E681A">
        <w:rPr>
          <w:rFonts w:ascii="Times New Roman" w:hAnsi="Times New Roman" w:cs="Times New Roman"/>
          <w:b/>
          <w:bCs/>
          <w:sz w:val="22"/>
          <w:szCs w:val="22"/>
          <w:lang w:val="en-US"/>
        </w:rPr>
        <w:t>C.A.,</w:t>
      </w:r>
      <w:r w:rsidRPr="006E681A">
        <w:rPr>
          <w:rFonts w:ascii="Times New Roman" w:hAnsi="Times New Roman" w:cs="Times New Roman"/>
          <w:sz w:val="22"/>
          <w:szCs w:val="22"/>
          <w:lang w:val="en-US"/>
        </w:rPr>
        <w:t xml:space="preserve"> inscrita en el Registro Mercantil de la Circunscripción Judicial del Estado Bolívar en fecha 6 de septiembre de 1993, bajo el Nro. 22, Tomo A Nro. 179, representación que se evidencia en documento poder que corre inserto a los folios 88 al 97 de la pieza Nro. 1 </w:t>
      </w:r>
      <w:proofErr w:type="gramStart"/>
      <w:r w:rsidRPr="006E681A">
        <w:rPr>
          <w:rFonts w:ascii="Times New Roman" w:hAnsi="Times New Roman" w:cs="Times New Roman"/>
          <w:sz w:val="22"/>
          <w:szCs w:val="22"/>
          <w:lang w:val="en-US"/>
        </w:rPr>
        <w:t>del</w:t>
      </w:r>
      <w:proofErr w:type="gramEnd"/>
      <w:r w:rsidRPr="006E681A">
        <w:rPr>
          <w:rFonts w:ascii="Times New Roman" w:hAnsi="Times New Roman" w:cs="Times New Roman"/>
          <w:sz w:val="22"/>
          <w:szCs w:val="22"/>
          <w:lang w:val="en-US"/>
        </w:rPr>
        <w:t xml:space="preserve"> expediente.</w:t>
      </w:r>
    </w:p>
    <w:p w:rsidR="00603A26" w:rsidRPr="006E681A" w:rsidRDefault="00603A26" w:rsidP="00603A26">
      <w:pPr>
        <w:widowControl w:val="0"/>
        <w:autoSpaceDE w:val="0"/>
        <w:autoSpaceDN w:val="0"/>
        <w:adjustRightInd w:val="0"/>
        <w:spacing w:after="2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El </w:t>
      </w:r>
      <w:r w:rsidRPr="006E681A">
        <w:rPr>
          <w:rFonts w:ascii="Times New Roman" w:hAnsi="Times New Roman" w:cs="Times New Roman"/>
          <w:i/>
          <w:iCs/>
          <w:sz w:val="22"/>
          <w:szCs w:val="22"/>
          <w:lang w:val="en-US"/>
        </w:rPr>
        <w:t>“recurso contencioso tributario”</w:t>
      </w:r>
      <w:r w:rsidRPr="006E681A">
        <w:rPr>
          <w:rFonts w:ascii="Times New Roman" w:hAnsi="Times New Roman" w:cs="Times New Roman"/>
          <w:sz w:val="22"/>
          <w:szCs w:val="22"/>
          <w:lang w:val="en-US"/>
        </w:rPr>
        <w:t xml:space="preserve"> fue incoado contra la </w:t>
      </w:r>
      <w:r w:rsidRPr="006E681A">
        <w:rPr>
          <w:rFonts w:ascii="Times New Roman" w:hAnsi="Times New Roman" w:cs="Times New Roman"/>
          <w:i/>
          <w:iCs/>
          <w:sz w:val="22"/>
          <w:szCs w:val="22"/>
          <w:lang w:val="en-US"/>
        </w:rPr>
        <w:t xml:space="preserve">Resolución </w:t>
      </w:r>
      <w:r w:rsidRPr="006E681A">
        <w:rPr>
          <w:rFonts w:ascii="Times New Roman" w:hAnsi="Times New Roman" w:cs="Times New Roman"/>
          <w:sz w:val="22"/>
          <w:szCs w:val="22"/>
          <w:lang w:val="en-US"/>
        </w:rPr>
        <w:t>Nro.</w:t>
      </w:r>
      <w:r w:rsidRPr="006E681A">
        <w:rPr>
          <w:rFonts w:ascii="Times New Roman" w:hAnsi="Times New Roman" w:cs="Times New Roman"/>
          <w:i/>
          <w:iCs/>
          <w:sz w:val="22"/>
          <w:szCs w:val="22"/>
          <w:lang w:val="en-US"/>
        </w:rPr>
        <w:t xml:space="preserve"> 0129 </w:t>
      </w:r>
      <w:r w:rsidRPr="006E681A">
        <w:rPr>
          <w:rFonts w:ascii="Times New Roman" w:hAnsi="Times New Roman" w:cs="Times New Roman"/>
          <w:sz w:val="22"/>
          <w:szCs w:val="22"/>
          <w:lang w:val="en-US"/>
        </w:rPr>
        <w:t xml:space="preserve">de fecha 6 de abril de 2009, emanada de la Gerencia de Fiscalización del Banco Nacional de Vivienda y Hábitat (BANAVIH), que determinó a cargo de la empresa la obligación de pagar la cantidad de Un Millón Setecientos Un Mil Doscientos Treinta y Nueve Bolívares con Sesenta y Ocho Céntimos (Bs. 1.701.239,68), por concepto de diferencias en los aportes dejados de pagar </w:t>
      </w:r>
      <w:r w:rsidRPr="006E681A">
        <w:rPr>
          <w:rFonts w:ascii="Times New Roman" w:hAnsi="Times New Roman" w:cs="Times New Roman"/>
          <w:sz w:val="22"/>
          <w:szCs w:val="22"/>
          <w:lang w:val="en-US"/>
        </w:rPr>
        <w:lastRenderedPageBreak/>
        <w:t>al Fondo de Ahorro Obligatorio para la Vivienda (FAOV), correspondientes a los años 2003, 2004, 2005, 2006, 2007 y 2008, y el monto de Quinientos Cincuenta y Dos Mil Novecientos Veintinueve Bolívares con Treinta y Siete Céntimos (Bs. 552.929,37) por rendimientos hasta el mes de febrero de 2009, para un total de Dos Millones Doscientos Cincuenta y Cuatro Mil Ciento Sesenta y Nueve Bolívares con Cinco Céntimos (Bs. 2.254.169,05).</w:t>
      </w:r>
    </w:p>
    <w:p w:rsidR="00603A26" w:rsidRPr="006E681A" w:rsidRDefault="00603A26" w:rsidP="00603A26">
      <w:pPr>
        <w:widowControl w:val="0"/>
        <w:autoSpaceDE w:val="0"/>
        <w:autoSpaceDN w:val="0"/>
        <w:adjustRightInd w:val="0"/>
        <w:spacing w:after="2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Por auto de fecha 6 de abril de 2011, el Tribunal de la causa oyó la apelación ejercida por la representación judicial del Banco Nacional de Vivienda y Hábitat (BANAVIH) en ambos efectos y remitió el expediente a esta Sala.</w:t>
      </w:r>
    </w:p>
    <w:p w:rsidR="00603A26" w:rsidRPr="006E681A" w:rsidRDefault="00603A26" w:rsidP="00603A26">
      <w:pPr>
        <w:widowControl w:val="0"/>
        <w:autoSpaceDE w:val="0"/>
        <w:autoSpaceDN w:val="0"/>
        <w:adjustRightInd w:val="0"/>
        <w:spacing w:after="2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En fecha 30 de junio de 2011 se dio cuenta en Sala y se ordenó aplicar el procedimiento de segunda instancia previsto en el artículo 92 de la Ley Orgánica de la Jurisdicción Contencioso Administrativa. Asimismo, se designó Ponente a la Magistrada Evelyn Marrero Ortíz y se fijó </w:t>
      </w:r>
      <w:proofErr w:type="gramStart"/>
      <w:r w:rsidRPr="006E681A">
        <w:rPr>
          <w:rFonts w:ascii="Times New Roman" w:hAnsi="Times New Roman" w:cs="Times New Roman"/>
          <w:sz w:val="22"/>
          <w:szCs w:val="22"/>
          <w:lang w:val="en-US"/>
        </w:rPr>
        <w:t>un</w:t>
      </w:r>
      <w:proofErr w:type="gramEnd"/>
      <w:r w:rsidRPr="006E681A">
        <w:rPr>
          <w:rFonts w:ascii="Times New Roman" w:hAnsi="Times New Roman" w:cs="Times New Roman"/>
          <w:sz w:val="22"/>
          <w:szCs w:val="22"/>
          <w:lang w:val="en-US"/>
        </w:rPr>
        <w:t xml:space="preserve"> lapso de diez (10) días de despacho para fundamentar la apelación.</w:t>
      </w:r>
    </w:p>
    <w:p w:rsidR="00603A26" w:rsidRPr="006E681A" w:rsidRDefault="00603A26" w:rsidP="00603A26">
      <w:pPr>
        <w:widowControl w:val="0"/>
        <w:autoSpaceDE w:val="0"/>
        <w:autoSpaceDN w:val="0"/>
        <w:adjustRightInd w:val="0"/>
        <w:spacing w:after="2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El 27 de julio de 2011 la abogada Mirna Yasmín Olivier B., antes identificada, presentó un escrito de fundamentación de la apelación.</w:t>
      </w:r>
    </w:p>
    <w:p w:rsidR="00603A26" w:rsidRPr="006E681A" w:rsidRDefault="00603A26" w:rsidP="00603A26">
      <w:pPr>
        <w:widowControl w:val="0"/>
        <w:autoSpaceDE w:val="0"/>
        <w:autoSpaceDN w:val="0"/>
        <w:adjustRightInd w:val="0"/>
        <w:spacing w:after="2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En fecha 9 de agosto </w:t>
      </w:r>
      <w:proofErr w:type="gramStart"/>
      <w:r w:rsidRPr="006E681A">
        <w:rPr>
          <w:rFonts w:ascii="Times New Roman" w:hAnsi="Times New Roman" w:cs="Times New Roman"/>
          <w:sz w:val="22"/>
          <w:szCs w:val="22"/>
          <w:lang w:val="en-US"/>
        </w:rPr>
        <w:t>del</w:t>
      </w:r>
      <w:proofErr w:type="gramEnd"/>
      <w:r w:rsidRPr="006E681A">
        <w:rPr>
          <w:rFonts w:ascii="Times New Roman" w:hAnsi="Times New Roman" w:cs="Times New Roman"/>
          <w:sz w:val="22"/>
          <w:szCs w:val="22"/>
          <w:lang w:val="en-US"/>
        </w:rPr>
        <w:t xml:space="preserve"> citado año el abogado Juan Carlos Balzán Pérez, ya identificado, actuando con el carácter de apoderado judicial de la empresa recurrente, consignó el escrito de contestación a la apelación interpuesta por la representación judicial del Banco Nacional de Vivienda y Hábitat (BANAVIH).</w:t>
      </w:r>
    </w:p>
    <w:p w:rsidR="00603A26" w:rsidRPr="006E681A" w:rsidRDefault="00603A26" w:rsidP="00603A26">
      <w:pPr>
        <w:widowControl w:val="0"/>
        <w:autoSpaceDE w:val="0"/>
        <w:autoSpaceDN w:val="0"/>
        <w:adjustRightInd w:val="0"/>
        <w:spacing w:after="2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Por auto de fecha 10 de agosto de 2011 la causa entró en estado de sentencia, de acuerdo a lo establecido en el artículo 93 de la Ley Orgánica de la Jurisdicción Contencioso Administrativa.</w:t>
      </w:r>
    </w:p>
    <w:p w:rsidR="00603A26" w:rsidRPr="006E681A" w:rsidRDefault="00603A26" w:rsidP="00603A26">
      <w:pPr>
        <w:widowControl w:val="0"/>
        <w:autoSpaceDE w:val="0"/>
        <w:autoSpaceDN w:val="0"/>
        <w:adjustRightInd w:val="0"/>
        <w:spacing w:after="260"/>
        <w:ind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Vista la incorporación de la abogada Mónica Misticchio Tortorella, como Magistrada Suplente de la Sala Político-Administrativa del Tribunal Supremo de Justicia en fecha 16 de enero de 2012, la Sala quedó integrada de la manera siguiente: Presidenta, Magistrada Evelyn Marrero Ortíz; Vicepresidenta, Magistrada Yolanda Jaimes Guerrero; el Magistrado Emiro García Rosas y las Magistradas Trina Omaira Zurita y Mónica Misticchio Tortorella. Asimismo, se ratificó como Ponente a la Magistrada Evelyn Marrero Ortíz.</w:t>
      </w:r>
    </w:p>
    <w:p w:rsidR="00603A26" w:rsidRPr="006E681A" w:rsidRDefault="00603A26" w:rsidP="00603A26">
      <w:pPr>
        <w:widowControl w:val="0"/>
        <w:autoSpaceDE w:val="0"/>
        <w:autoSpaceDN w:val="0"/>
        <w:adjustRightInd w:val="0"/>
        <w:spacing w:after="2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Realizado el estudio del expediente pasa esta Alzada a decidir, previo a lo cual formula las consideraciones siguientes:</w:t>
      </w:r>
    </w:p>
    <w:p w:rsidR="00603A26" w:rsidRPr="006E681A" w:rsidRDefault="00603A26" w:rsidP="00603A26">
      <w:pPr>
        <w:widowControl w:val="0"/>
        <w:autoSpaceDE w:val="0"/>
        <w:autoSpaceDN w:val="0"/>
        <w:adjustRightInd w:val="0"/>
        <w:spacing w:after="260"/>
        <w:ind w:right="260" w:firstLine="940"/>
        <w:jc w:val="center"/>
        <w:rPr>
          <w:rFonts w:ascii="Times New Roman" w:hAnsi="Times New Roman" w:cs="Times New Roman"/>
          <w:sz w:val="22"/>
          <w:szCs w:val="22"/>
          <w:lang w:val="en-US"/>
        </w:rPr>
      </w:pPr>
      <w:r w:rsidRPr="006E681A">
        <w:rPr>
          <w:rFonts w:ascii="Times New Roman" w:hAnsi="Times New Roman" w:cs="Times New Roman"/>
          <w:b/>
          <w:bCs/>
          <w:sz w:val="22"/>
          <w:szCs w:val="22"/>
          <w:lang w:val="en-US"/>
        </w:rPr>
        <w:t>I</w:t>
      </w:r>
    </w:p>
    <w:p w:rsidR="00603A26" w:rsidRPr="006E681A" w:rsidRDefault="00603A26" w:rsidP="00603A26">
      <w:pPr>
        <w:widowControl w:val="0"/>
        <w:autoSpaceDE w:val="0"/>
        <w:autoSpaceDN w:val="0"/>
        <w:adjustRightInd w:val="0"/>
        <w:spacing w:after="260"/>
        <w:ind w:right="260" w:firstLine="940"/>
        <w:jc w:val="center"/>
        <w:rPr>
          <w:rFonts w:ascii="Times New Roman" w:hAnsi="Times New Roman" w:cs="Times New Roman"/>
          <w:sz w:val="22"/>
          <w:szCs w:val="22"/>
          <w:lang w:val="en-US"/>
        </w:rPr>
      </w:pPr>
      <w:r w:rsidRPr="006E681A">
        <w:rPr>
          <w:rFonts w:ascii="Times New Roman" w:hAnsi="Times New Roman" w:cs="Times New Roman"/>
          <w:b/>
          <w:bCs/>
          <w:sz w:val="22"/>
          <w:szCs w:val="22"/>
          <w:lang w:val="en-US"/>
        </w:rPr>
        <w:t>ANTECEDENTES</w:t>
      </w:r>
    </w:p>
    <w:p w:rsidR="00603A26" w:rsidRPr="006E681A" w:rsidRDefault="00603A26" w:rsidP="00603A26">
      <w:pPr>
        <w:widowControl w:val="0"/>
        <w:autoSpaceDE w:val="0"/>
        <w:autoSpaceDN w:val="0"/>
        <w:adjustRightInd w:val="0"/>
        <w:spacing w:after="2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En fecha 27 de octubre de 2008 la abogada Reina Ojeda, actuando con el carácter de Gerente de Fiscalización del Banco Nacional de Vivienda y Hábitat (BANAVIH) emitió la </w:t>
      </w:r>
      <w:r w:rsidRPr="006E681A">
        <w:rPr>
          <w:rFonts w:ascii="Times New Roman" w:hAnsi="Times New Roman" w:cs="Times New Roman"/>
          <w:i/>
          <w:iCs/>
          <w:sz w:val="22"/>
          <w:szCs w:val="22"/>
          <w:lang w:val="en-US"/>
        </w:rPr>
        <w:t>“Credencial”</w:t>
      </w:r>
      <w:r w:rsidRPr="006E681A">
        <w:rPr>
          <w:rFonts w:ascii="Times New Roman" w:hAnsi="Times New Roman" w:cs="Times New Roman"/>
          <w:sz w:val="22"/>
          <w:szCs w:val="22"/>
          <w:lang w:val="en-US"/>
        </w:rPr>
        <w:t xml:space="preserve"> identificada con el Nro. 238 con vigencia hasta el día 30 de diciembre de ese mismo año (folio 134 de la pieza Nro. 1 del expediente), en la cual autorizó a la funcionaria Estílita Lucena, titular de la cédula de identidad Nro. 3.988.381, a fin de revisar las nóminas y toda la documentación administrativa, económica, contable y financiera de la empresa ACBL de Venezuela, C.A., así como obtener información detallada sobre el cumplimiento de las obligaciones relacionadas con el Fondo de Ahorro Obligatorio para la Vivienda (FAOV).</w:t>
      </w:r>
    </w:p>
    <w:p w:rsidR="00603A26" w:rsidRPr="006E681A" w:rsidRDefault="00603A26" w:rsidP="00603A26">
      <w:pPr>
        <w:widowControl w:val="0"/>
        <w:autoSpaceDE w:val="0"/>
        <w:autoSpaceDN w:val="0"/>
        <w:adjustRightInd w:val="0"/>
        <w:spacing w:after="2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lastRenderedPageBreak/>
        <w:t xml:space="preserve">El 17 de noviembre de 2008 la funcionaria autorizada, presente en la sede de la nombrada sociedad mercantil, levantó el Acta de </w:t>
      </w:r>
      <w:r w:rsidRPr="006E681A">
        <w:rPr>
          <w:rFonts w:ascii="Times New Roman" w:hAnsi="Times New Roman" w:cs="Times New Roman"/>
          <w:i/>
          <w:iCs/>
          <w:sz w:val="22"/>
          <w:szCs w:val="22"/>
          <w:lang w:val="en-US"/>
        </w:rPr>
        <w:t>“NOTIFICACIÓN DE VISITA Y SOLICITUD DE DOCUMENTOS”</w:t>
      </w:r>
      <w:r w:rsidRPr="006E681A">
        <w:rPr>
          <w:rFonts w:ascii="Times New Roman" w:hAnsi="Times New Roman" w:cs="Times New Roman"/>
          <w:sz w:val="22"/>
          <w:szCs w:val="22"/>
          <w:lang w:val="en-US"/>
        </w:rPr>
        <w:t xml:space="preserve"> Nro. </w:t>
      </w:r>
      <w:r w:rsidRPr="006E681A">
        <w:rPr>
          <w:rFonts w:ascii="Times New Roman" w:hAnsi="Times New Roman" w:cs="Times New Roman"/>
          <w:i/>
          <w:iCs/>
          <w:sz w:val="22"/>
          <w:szCs w:val="22"/>
          <w:lang w:val="en-US"/>
        </w:rPr>
        <w:t>2008-238-1</w:t>
      </w:r>
      <w:r w:rsidRPr="006E681A">
        <w:rPr>
          <w:rFonts w:ascii="Times New Roman" w:hAnsi="Times New Roman" w:cs="Times New Roman"/>
          <w:sz w:val="22"/>
          <w:szCs w:val="22"/>
          <w:lang w:val="en-US"/>
        </w:rPr>
        <w:t>, donde requirió la documentación pertinente para cumplir la labor encomendada.</w:t>
      </w:r>
    </w:p>
    <w:p w:rsidR="00603A26" w:rsidRPr="006E681A" w:rsidRDefault="00603A26" w:rsidP="00603A26">
      <w:pPr>
        <w:widowControl w:val="0"/>
        <w:autoSpaceDE w:val="0"/>
        <w:autoSpaceDN w:val="0"/>
        <w:adjustRightInd w:val="0"/>
        <w:spacing w:after="2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En fecha 20 de noviembre de 2008 la misma funcionaria, antes identificada, levantó el </w:t>
      </w:r>
      <w:r w:rsidRPr="006E681A">
        <w:rPr>
          <w:rFonts w:ascii="Times New Roman" w:hAnsi="Times New Roman" w:cs="Times New Roman"/>
          <w:i/>
          <w:iCs/>
          <w:sz w:val="22"/>
          <w:szCs w:val="22"/>
          <w:lang w:val="en-US"/>
        </w:rPr>
        <w:t xml:space="preserve">Acta de Fiscalización </w:t>
      </w:r>
      <w:r w:rsidRPr="006E681A">
        <w:rPr>
          <w:rFonts w:ascii="Times New Roman" w:hAnsi="Times New Roman" w:cs="Times New Roman"/>
          <w:sz w:val="22"/>
          <w:szCs w:val="22"/>
          <w:lang w:val="en-US"/>
        </w:rPr>
        <w:t>Nro.</w:t>
      </w:r>
      <w:r w:rsidRPr="006E681A">
        <w:rPr>
          <w:rFonts w:ascii="Times New Roman" w:hAnsi="Times New Roman" w:cs="Times New Roman"/>
          <w:i/>
          <w:iCs/>
          <w:sz w:val="22"/>
          <w:szCs w:val="22"/>
          <w:lang w:val="en-US"/>
        </w:rPr>
        <w:t xml:space="preserve"> 2008-238-1</w:t>
      </w:r>
      <w:r w:rsidRPr="006E681A">
        <w:rPr>
          <w:rFonts w:ascii="Times New Roman" w:hAnsi="Times New Roman" w:cs="Times New Roman"/>
          <w:sz w:val="22"/>
          <w:szCs w:val="22"/>
          <w:lang w:val="en-US"/>
        </w:rPr>
        <w:t xml:space="preserve">, en la que determinó a la sociedad de comercio ACBL de Venezuela, C.A., la obligación de pagar las diferencias no depositadas por conceptos de vacaciones, bonificaciones y utilidades (conceptos diversos al salario básico), correspondientes a los períodos comprendidos entre el año 2003 y el año 2008, por la suma de Un Millón Setecientos Un Mil Doscientos Cincuenta y Nueve Bolívares con Sesenta y Ocho Céntimos (Bs. 1.701.259,68), así como los </w:t>
      </w:r>
      <w:r w:rsidRPr="006E681A">
        <w:rPr>
          <w:rFonts w:ascii="Times New Roman" w:hAnsi="Times New Roman" w:cs="Times New Roman"/>
          <w:i/>
          <w:iCs/>
          <w:sz w:val="22"/>
          <w:szCs w:val="22"/>
          <w:lang w:val="en-US"/>
        </w:rPr>
        <w:t>“rendimientos”</w:t>
      </w:r>
      <w:r w:rsidRPr="006E681A">
        <w:rPr>
          <w:rFonts w:ascii="Times New Roman" w:hAnsi="Times New Roman" w:cs="Times New Roman"/>
          <w:sz w:val="22"/>
          <w:szCs w:val="22"/>
          <w:lang w:val="en-US"/>
        </w:rPr>
        <w:t xml:space="preserve"> (intereses devengados por los fondos no depositados) calculados hasta el 31 de octubre de 2008, en Cuatrocientos Cuarenta y Nueve Mil Setecientos Catorce Bolívares con Dieciocho Céntimos (Bs. 449.714,18), los cuales ascienden a la cantidad total de Dos Millones Ciento Cincuenta Mil Novecientos Cincuenta y Tres Bolívares con Ochenta y Siete Céntimos (Bs. 2.150.953,87). (Folios 102 y 103 de la pieza Nro. 1 del expediente).</w:t>
      </w:r>
    </w:p>
    <w:p w:rsidR="00603A26" w:rsidRPr="006E681A" w:rsidRDefault="00603A26" w:rsidP="00603A26">
      <w:pPr>
        <w:widowControl w:val="0"/>
        <w:autoSpaceDE w:val="0"/>
        <w:autoSpaceDN w:val="0"/>
        <w:adjustRightInd w:val="0"/>
        <w:spacing w:after="2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El 7 de abril de 2009 la Gerente de Fiscalización del Banco Nacional de Vivienda y Hábitat (BANAVIH), mediante el </w:t>
      </w:r>
      <w:r w:rsidRPr="006E681A">
        <w:rPr>
          <w:rFonts w:ascii="Times New Roman" w:hAnsi="Times New Roman" w:cs="Times New Roman"/>
          <w:i/>
          <w:iCs/>
          <w:sz w:val="22"/>
          <w:szCs w:val="22"/>
          <w:lang w:val="en-US"/>
        </w:rPr>
        <w:t xml:space="preserve">Oficio </w:t>
      </w:r>
      <w:r w:rsidRPr="006E681A">
        <w:rPr>
          <w:rFonts w:ascii="Times New Roman" w:hAnsi="Times New Roman" w:cs="Times New Roman"/>
          <w:sz w:val="22"/>
          <w:szCs w:val="22"/>
          <w:lang w:val="en-US"/>
        </w:rPr>
        <w:t>Nro.</w:t>
      </w:r>
      <w:r w:rsidRPr="006E681A">
        <w:rPr>
          <w:rFonts w:ascii="Times New Roman" w:hAnsi="Times New Roman" w:cs="Times New Roman"/>
          <w:i/>
          <w:iCs/>
          <w:sz w:val="22"/>
          <w:szCs w:val="22"/>
          <w:lang w:val="en-US"/>
        </w:rPr>
        <w:t xml:space="preserve"> GF-2009 </w:t>
      </w:r>
      <w:r w:rsidRPr="006E681A">
        <w:rPr>
          <w:rFonts w:ascii="Times New Roman" w:hAnsi="Times New Roman" w:cs="Times New Roman"/>
          <w:sz w:val="22"/>
          <w:szCs w:val="22"/>
          <w:lang w:val="en-US"/>
        </w:rPr>
        <w:t xml:space="preserve">notificó a la empresa la </w:t>
      </w:r>
      <w:r w:rsidRPr="006E681A">
        <w:rPr>
          <w:rFonts w:ascii="Times New Roman" w:hAnsi="Times New Roman" w:cs="Times New Roman"/>
          <w:i/>
          <w:iCs/>
          <w:sz w:val="22"/>
          <w:szCs w:val="22"/>
          <w:lang w:val="en-US"/>
        </w:rPr>
        <w:t xml:space="preserve">Resolución </w:t>
      </w:r>
      <w:r w:rsidRPr="006E681A">
        <w:rPr>
          <w:rFonts w:ascii="Times New Roman" w:hAnsi="Times New Roman" w:cs="Times New Roman"/>
          <w:sz w:val="22"/>
          <w:szCs w:val="22"/>
          <w:lang w:val="en-US"/>
        </w:rPr>
        <w:t>Nro.</w:t>
      </w:r>
      <w:r w:rsidRPr="006E681A">
        <w:rPr>
          <w:rFonts w:ascii="Times New Roman" w:hAnsi="Times New Roman" w:cs="Times New Roman"/>
          <w:i/>
          <w:iCs/>
          <w:sz w:val="22"/>
          <w:szCs w:val="22"/>
          <w:lang w:val="en-US"/>
        </w:rPr>
        <w:t xml:space="preserve"> 0129</w:t>
      </w:r>
      <w:r w:rsidRPr="006E681A">
        <w:rPr>
          <w:rFonts w:ascii="Times New Roman" w:hAnsi="Times New Roman" w:cs="Times New Roman"/>
          <w:sz w:val="22"/>
          <w:szCs w:val="22"/>
          <w:lang w:val="en-US"/>
        </w:rPr>
        <w:t xml:space="preserve"> del 6 de abril del mismo año, en la que ratificó “</w:t>
      </w:r>
      <w:r w:rsidRPr="006E681A">
        <w:rPr>
          <w:rFonts w:ascii="Times New Roman" w:hAnsi="Times New Roman" w:cs="Times New Roman"/>
          <w:i/>
          <w:iCs/>
          <w:sz w:val="22"/>
          <w:szCs w:val="22"/>
          <w:lang w:val="en-US"/>
        </w:rPr>
        <w:t xml:space="preserve">la deuda por las diferencias no depositadas ante el Fondo de Ahorro Obligatorio para la Vivienda (FAOV) asciende a la cantidad de </w:t>
      </w:r>
      <w:r w:rsidRPr="006E681A">
        <w:rPr>
          <w:rFonts w:ascii="Times New Roman" w:hAnsi="Times New Roman" w:cs="Times New Roman"/>
          <w:b/>
          <w:bCs/>
          <w:i/>
          <w:iCs/>
          <w:sz w:val="22"/>
          <w:szCs w:val="22"/>
          <w:lang w:val="en-US"/>
        </w:rPr>
        <w:t>UN MILLÓN SETECIENTOS UN MIL DOSCIENTOS TREINTA Y NUEVE BOLÍVARES CON SESENTA Y OCHO CÉNTIMOS</w:t>
      </w:r>
      <w:r w:rsidRPr="006E681A">
        <w:rPr>
          <w:rFonts w:ascii="Times New Roman" w:hAnsi="Times New Roman" w:cs="Times New Roman"/>
          <w:i/>
          <w:iCs/>
          <w:sz w:val="22"/>
          <w:szCs w:val="22"/>
          <w:lang w:val="en-US"/>
        </w:rPr>
        <w:t xml:space="preserve">                               </w:t>
      </w:r>
      <w:r w:rsidRPr="006E681A">
        <w:rPr>
          <w:rFonts w:ascii="Times New Roman" w:hAnsi="Times New Roman" w:cs="Times New Roman"/>
          <w:b/>
          <w:bCs/>
          <w:i/>
          <w:iCs/>
          <w:sz w:val="22"/>
          <w:szCs w:val="22"/>
          <w:lang w:val="en-US"/>
        </w:rPr>
        <w:t>(Bs. F. 1.701.239,68)</w:t>
      </w:r>
      <w:r w:rsidRPr="006E681A">
        <w:rPr>
          <w:rFonts w:ascii="Times New Roman" w:hAnsi="Times New Roman" w:cs="Times New Roman"/>
          <w:i/>
          <w:iCs/>
          <w:sz w:val="22"/>
          <w:szCs w:val="22"/>
          <w:lang w:val="en-US"/>
        </w:rPr>
        <w:t>”</w:t>
      </w:r>
      <w:r w:rsidRPr="006E681A">
        <w:rPr>
          <w:rFonts w:ascii="Times New Roman" w:hAnsi="Times New Roman" w:cs="Times New Roman"/>
          <w:sz w:val="22"/>
          <w:szCs w:val="22"/>
          <w:lang w:val="en-US"/>
        </w:rPr>
        <w:t xml:space="preserve">; y calculó </w:t>
      </w:r>
      <w:r w:rsidRPr="006E681A">
        <w:rPr>
          <w:rFonts w:ascii="Times New Roman" w:hAnsi="Times New Roman" w:cs="Times New Roman"/>
          <w:i/>
          <w:iCs/>
          <w:sz w:val="22"/>
          <w:szCs w:val="22"/>
          <w:lang w:val="en-US"/>
        </w:rPr>
        <w:t>“</w:t>
      </w:r>
      <w:r w:rsidRPr="006E681A">
        <w:rPr>
          <w:rFonts w:ascii="Times New Roman" w:hAnsi="Times New Roman" w:cs="Times New Roman"/>
          <w:sz w:val="22"/>
          <w:szCs w:val="22"/>
          <w:lang w:val="en-US"/>
        </w:rPr>
        <w:t xml:space="preserve">(…) </w:t>
      </w:r>
      <w:r w:rsidRPr="006E681A">
        <w:rPr>
          <w:rFonts w:ascii="Times New Roman" w:hAnsi="Times New Roman" w:cs="Times New Roman"/>
          <w:i/>
          <w:iCs/>
          <w:sz w:val="22"/>
          <w:szCs w:val="22"/>
          <w:lang w:val="en-US"/>
        </w:rPr>
        <w:t xml:space="preserve">los rendimientos </w:t>
      </w:r>
      <w:r w:rsidRPr="006E681A">
        <w:rPr>
          <w:rFonts w:ascii="Times New Roman" w:hAnsi="Times New Roman" w:cs="Times New Roman"/>
          <w:sz w:val="22"/>
          <w:szCs w:val="22"/>
          <w:lang w:val="en-US"/>
        </w:rPr>
        <w:t>(…)</w:t>
      </w:r>
      <w:r w:rsidRPr="006E681A">
        <w:rPr>
          <w:rFonts w:ascii="Times New Roman" w:hAnsi="Times New Roman" w:cs="Times New Roman"/>
          <w:i/>
          <w:iCs/>
          <w:sz w:val="22"/>
          <w:szCs w:val="22"/>
          <w:lang w:val="en-US"/>
        </w:rPr>
        <w:t xml:space="preserve"> para los períodos 2001-2002-2003-2004 hasta mayo 2005 y a partir de junio de 2005 hasta la fecha </w:t>
      </w:r>
      <w:r w:rsidRPr="006E681A">
        <w:rPr>
          <w:rFonts w:ascii="Times New Roman" w:hAnsi="Times New Roman" w:cs="Times New Roman"/>
          <w:sz w:val="22"/>
          <w:szCs w:val="22"/>
          <w:lang w:val="en-US"/>
        </w:rPr>
        <w:t>[de febrero de 2009]</w:t>
      </w:r>
      <w:r w:rsidRPr="006E681A">
        <w:rPr>
          <w:rFonts w:ascii="Times New Roman" w:hAnsi="Times New Roman" w:cs="Times New Roman"/>
          <w:i/>
          <w:iCs/>
          <w:sz w:val="22"/>
          <w:szCs w:val="22"/>
          <w:lang w:val="en-US"/>
        </w:rPr>
        <w:t xml:space="preserve">; por </w:t>
      </w:r>
      <w:r w:rsidRPr="006E681A">
        <w:rPr>
          <w:rFonts w:ascii="Times New Roman" w:hAnsi="Times New Roman" w:cs="Times New Roman"/>
          <w:sz w:val="22"/>
          <w:szCs w:val="22"/>
          <w:lang w:val="en-US"/>
        </w:rPr>
        <w:t>(…)</w:t>
      </w:r>
      <w:r w:rsidRPr="006E681A">
        <w:rPr>
          <w:rFonts w:ascii="Times New Roman" w:hAnsi="Times New Roman" w:cs="Times New Roman"/>
          <w:i/>
          <w:iCs/>
          <w:sz w:val="22"/>
          <w:szCs w:val="22"/>
          <w:lang w:val="en-US"/>
        </w:rPr>
        <w:t xml:space="preserve"> la cantidad correspondiente es de </w:t>
      </w:r>
      <w:r w:rsidRPr="006E681A">
        <w:rPr>
          <w:rFonts w:ascii="Times New Roman" w:hAnsi="Times New Roman" w:cs="Times New Roman"/>
          <w:b/>
          <w:bCs/>
          <w:i/>
          <w:iCs/>
          <w:sz w:val="22"/>
          <w:szCs w:val="22"/>
          <w:lang w:val="en-US"/>
        </w:rPr>
        <w:t>QUINIENTOS CINCUENTA Y DOS MIL NOVECIENTOS VEINTINUEVE BOLÍVARES CON TREINTA Y SIETE CÉNTIMOS</w:t>
      </w:r>
      <w:r w:rsidRPr="006E681A">
        <w:rPr>
          <w:rFonts w:ascii="Times New Roman" w:hAnsi="Times New Roman" w:cs="Times New Roman"/>
          <w:i/>
          <w:iCs/>
          <w:sz w:val="22"/>
          <w:szCs w:val="22"/>
          <w:lang w:val="en-US"/>
        </w:rPr>
        <w:t xml:space="preserve"> </w:t>
      </w:r>
      <w:r w:rsidRPr="006E681A">
        <w:rPr>
          <w:rFonts w:ascii="Times New Roman" w:hAnsi="Times New Roman" w:cs="Times New Roman"/>
          <w:b/>
          <w:bCs/>
          <w:i/>
          <w:iCs/>
          <w:sz w:val="22"/>
          <w:szCs w:val="22"/>
          <w:lang w:val="en-US"/>
        </w:rPr>
        <w:t>(Bs. F. 552.929,37)</w:t>
      </w:r>
      <w:r w:rsidRPr="006E681A">
        <w:rPr>
          <w:rFonts w:ascii="Times New Roman" w:hAnsi="Times New Roman" w:cs="Times New Roman"/>
          <w:sz w:val="22"/>
          <w:szCs w:val="22"/>
          <w:lang w:val="en-US"/>
        </w:rPr>
        <w:t xml:space="preserve"> (…) </w:t>
      </w:r>
      <w:r w:rsidRPr="006E681A">
        <w:rPr>
          <w:rFonts w:ascii="Times New Roman" w:hAnsi="Times New Roman" w:cs="Times New Roman"/>
          <w:i/>
          <w:iCs/>
          <w:sz w:val="22"/>
          <w:szCs w:val="22"/>
          <w:lang w:val="en-US"/>
        </w:rPr>
        <w:t xml:space="preserve">y en consecuencia el monto total asciende a la cantidad de </w:t>
      </w:r>
      <w:r w:rsidRPr="006E681A">
        <w:rPr>
          <w:rFonts w:ascii="Times New Roman" w:hAnsi="Times New Roman" w:cs="Times New Roman"/>
          <w:b/>
          <w:bCs/>
          <w:i/>
          <w:iCs/>
          <w:sz w:val="22"/>
          <w:szCs w:val="22"/>
          <w:lang w:val="en-US"/>
        </w:rPr>
        <w:t>DOS MILLONES DOSCIENTOS CINCUENTA Y CUATRO MIL CIENTO SESENTA Y NUEVE BOLÍVARES CON CINCO CÉNTIMOS (Bs. F. 2.254.169,05)</w:t>
      </w:r>
      <w:r w:rsidRPr="006E681A">
        <w:rPr>
          <w:rFonts w:ascii="Times New Roman" w:hAnsi="Times New Roman" w:cs="Times New Roman"/>
          <w:i/>
          <w:iCs/>
          <w:sz w:val="22"/>
          <w:szCs w:val="22"/>
          <w:lang w:val="en-US"/>
        </w:rPr>
        <w:t xml:space="preserve"> </w:t>
      </w:r>
      <w:r w:rsidRPr="006E681A">
        <w:rPr>
          <w:rFonts w:ascii="Times New Roman" w:hAnsi="Times New Roman" w:cs="Times New Roman"/>
          <w:sz w:val="22"/>
          <w:szCs w:val="22"/>
          <w:lang w:val="en-US"/>
        </w:rPr>
        <w:t>(…)</w:t>
      </w:r>
      <w:r w:rsidRPr="006E681A">
        <w:rPr>
          <w:rFonts w:ascii="Times New Roman" w:hAnsi="Times New Roman" w:cs="Times New Roman"/>
          <w:i/>
          <w:iCs/>
          <w:sz w:val="22"/>
          <w:szCs w:val="22"/>
          <w:lang w:val="en-US"/>
        </w:rPr>
        <w:t>”</w:t>
      </w:r>
      <w:r w:rsidRPr="006E681A">
        <w:rPr>
          <w:rFonts w:ascii="Times New Roman" w:hAnsi="Times New Roman" w:cs="Times New Roman"/>
          <w:sz w:val="22"/>
          <w:szCs w:val="22"/>
          <w:lang w:val="en-US"/>
        </w:rPr>
        <w:t>. (Folios 98 al 100 de la pieza Nro. 1 del expediente). [Agregado de la Sala].</w:t>
      </w:r>
    </w:p>
    <w:p w:rsidR="00603A26" w:rsidRPr="006E681A" w:rsidRDefault="00603A26" w:rsidP="00603A26">
      <w:pPr>
        <w:widowControl w:val="0"/>
        <w:autoSpaceDE w:val="0"/>
        <w:autoSpaceDN w:val="0"/>
        <w:adjustRightInd w:val="0"/>
        <w:spacing w:after="2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En fecha 15 de mayo de 2009 el abogado Juan Carlos Balzán Pérez, antes identificado, actuando con el carácter de apoderado judicial de la empresa ACBL de Venezuela, C.A., ejerció el “</w:t>
      </w:r>
      <w:r w:rsidRPr="006E681A">
        <w:rPr>
          <w:rFonts w:ascii="Times New Roman" w:hAnsi="Times New Roman" w:cs="Times New Roman"/>
          <w:i/>
          <w:iCs/>
          <w:sz w:val="22"/>
          <w:szCs w:val="22"/>
          <w:lang w:val="en-US"/>
        </w:rPr>
        <w:t>recurso contencioso tributario</w:t>
      </w:r>
      <w:r w:rsidRPr="006E681A">
        <w:rPr>
          <w:rFonts w:ascii="Times New Roman" w:hAnsi="Times New Roman" w:cs="Times New Roman"/>
          <w:sz w:val="22"/>
          <w:szCs w:val="22"/>
          <w:lang w:val="en-US"/>
        </w:rPr>
        <w:t xml:space="preserve">” conjuntamente con solicitud de medida cautelar de suspensión de efectos contra la precitada </w:t>
      </w:r>
      <w:r w:rsidRPr="006E681A">
        <w:rPr>
          <w:rFonts w:ascii="Times New Roman" w:hAnsi="Times New Roman" w:cs="Times New Roman"/>
          <w:i/>
          <w:iCs/>
          <w:sz w:val="22"/>
          <w:szCs w:val="22"/>
          <w:lang w:val="en-US"/>
        </w:rPr>
        <w:t xml:space="preserve">Resolución </w:t>
      </w:r>
      <w:r w:rsidRPr="006E681A">
        <w:rPr>
          <w:rFonts w:ascii="Times New Roman" w:hAnsi="Times New Roman" w:cs="Times New Roman"/>
          <w:sz w:val="22"/>
          <w:szCs w:val="22"/>
          <w:lang w:val="en-US"/>
        </w:rPr>
        <w:t>Nro.</w:t>
      </w:r>
      <w:r w:rsidRPr="006E681A">
        <w:rPr>
          <w:rFonts w:ascii="Times New Roman" w:hAnsi="Times New Roman" w:cs="Times New Roman"/>
          <w:i/>
          <w:iCs/>
          <w:sz w:val="22"/>
          <w:szCs w:val="22"/>
          <w:lang w:val="en-US"/>
        </w:rPr>
        <w:t xml:space="preserve"> 0129</w:t>
      </w:r>
      <w:r w:rsidRPr="006E681A">
        <w:rPr>
          <w:rFonts w:ascii="Times New Roman" w:hAnsi="Times New Roman" w:cs="Times New Roman"/>
          <w:sz w:val="22"/>
          <w:szCs w:val="22"/>
          <w:lang w:val="en-US"/>
        </w:rPr>
        <w:t xml:space="preserve"> del 6 de abril de 2009, emitida por la Gerencia de Fiscalización del Banco Nacional de Vivienda y Hábitat (BANAVIH), mediante escrito presentado ante la Unidad de Recepción y Distribución de Documentos (U.R.D.D.) de los Tribunales Superiores de lo Contencioso Tributario de la Circunscripción Judicial del Área Metropolitana de Caracas, con fundamento en las razones de hecho y derecho que a continuación se expresan:</w:t>
      </w:r>
    </w:p>
    <w:p w:rsidR="00603A26" w:rsidRPr="006E681A" w:rsidRDefault="00603A26" w:rsidP="00603A26">
      <w:pPr>
        <w:widowControl w:val="0"/>
        <w:autoSpaceDE w:val="0"/>
        <w:autoSpaceDN w:val="0"/>
        <w:adjustRightInd w:val="0"/>
        <w:spacing w:after="2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1. Afirma la competencia de los Tribunales Superiores de lo Contencioso Tributario para conocer del </w:t>
      </w:r>
      <w:r w:rsidRPr="006E681A">
        <w:rPr>
          <w:rFonts w:ascii="Times New Roman" w:hAnsi="Times New Roman" w:cs="Times New Roman"/>
          <w:i/>
          <w:iCs/>
          <w:sz w:val="22"/>
          <w:szCs w:val="22"/>
          <w:lang w:val="en-US"/>
        </w:rPr>
        <w:t>“recurso contencioso tributario”</w:t>
      </w:r>
      <w:r w:rsidRPr="006E681A">
        <w:rPr>
          <w:rFonts w:ascii="Times New Roman" w:hAnsi="Times New Roman" w:cs="Times New Roman"/>
          <w:sz w:val="22"/>
          <w:szCs w:val="22"/>
          <w:lang w:val="en-US"/>
        </w:rPr>
        <w:t>, tomando en cuenta la naturaleza jurídica que poseen los aportes al Fondo de Ahorro Obligatorio para la Vivienda (FAOV) exigidos en la Ley del Régimen Prestacional de Vivienda y Hábitat.</w:t>
      </w:r>
    </w:p>
    <w:p w:rsidR="00603A26" w:rsidRPr="006E681A" w:rsidRDefault="00603A26" w:rsidP="00603A26">
      <w:pPr>
        <w:widowControl w:val="0"/>
        <w:autoSpaceDE w:val="0"/>
        <w:autoSpaceDN w:val="0"/>
        <w:adjustRightInd w:val="0"/>
        <w:spacing w:after="2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2. Denuncia la nulidad absoluta de la </w:t>
      </w:r>
      <w:r w:rsidRPr="006E681A">
        <w:rPr>
          <w:rFonts w:ascii="Times New Roman" w:hAnsi="Times New Roman" w:cs="Times New Roman"/>
          <w:i/>
          <w:iCs/>
          <w:sz w:val="22"/>
          <w:szCs w:val="22"/>
          <w:lang w:val="en-US"/>
        </w:rPr>
        <w:t xml:space="preserve">Resolución </w:t>
      </w:r>
      <w:r w:rsidRPr="006E681A">
        <w:rPr>
          <w:rFonts w:ascii="Times New Roman" w:hAnsi="Times New Roman" w:cs="Times New Roman"/>
          <w:sz w:val="22"/>
          <w:szCs w:val="22"/>
          <w:lang w:val="en-US"/>
        </w:rPr>
        <w:t xml:space="preserve">impugnada por </w:t>
      </w:r>
      <w:proofErr w:type="gramStart"/>
      <w:r w:rsidRPr="006E681A">
        <w:rPr>
          <w:rFonts w:ascii="Times New Roman" w:hAnsi="Times New Roman" w:cs="Times New Roman"/>
          <w:sz w:val="22"/>
          <w:szCs w:val="22"/>
          <w:lang w:val="en-US"/>
        </w:rPr>
        <w:t>haber</w:t>
      </w:r>
      <w:proofErr w:type="gramEnd"/>
      <w:r w:rsidRPr="006E681A">
        <w:rPr>
          <w:rFonts w:ascii="Times New Roman" w:hAnsi="Times New Roman" w:cs="Times New Roman"/>
          <w:sz w:val="22"/>
          <w:szCs w:val="22"/>
          <w:lang w:val="en-US"/>
        </w:rPr>
        <w:t xml:space="preserve"> ratificado el contenido del </w:t>
      </w:r>
      <w:r w:rsidRPr="006E681A">
        <w:rPr>
          <w:rFonts w:ascii="Times New Roman" w:hAnsi="Times New Roman" w:cs="Times New Roman"/>
          <w:i/>
          <w:iCs/>
          <w:sz w:val="22"/>
          <w:szCs w:val="22"/>
          <w:lang w:val="en-US"/>
        </w:rPr>
        <w:t xml:space="preserve">Acta de Fiscalización </w:t>
      </w:r>
      <w:r w:rsidRPr="006E681A">
        <w:rPr>
          <w:rFonts w:ascii="Times New Roman" w:hAnsi="Times New Roman" w:cs="Times New Roman"/>
          <w:sz w:val="22"/>
          <w:szCs w:val="22"/>
          <w:lang w:val="en-US"/>
        </w:rPr>
        <w:t>Nro.</w:t>
      </w:r>
      <w:r w:rsidRPr="006E681A">
        <w:rPr>
          <w:rFonts w:ascii="Times New Roman" w:hAnsi="Times New Roman" w:cs="Times New Roman"/>
          <w:i/>
          <w:iCs/>
          <w:sz w:val="22"/>
          <w:szCs w:val="22"/>
          <w:lang w:val="en-US"/>
        </w:rPr>
        <w:t xml:space="preserve"> 2008-230-1</w:t>
      </w:r>
      <w:r w:rsidRPr="006E681A">
        <w:rPr>
          <w:rFonts w:ascii="Times New Roman" w:hAnsi="Times New Roman" w:cs="Times New Roman"/>
          <w:sz w:val="22"/>
          <w:szCs w:val="22"/>
          <w:lang w:val="en-US"/>
        </w:rPr>
        <w:t xml:space="preserve">, dictada -a su criterio- en </w:t>
      </w:r>
      <w:r w:rsidRPr="006E681A">
        <w:rPr>
          <w:rFonts w:ascii="Times New Roman" w:hAnsi="Times New Roman" w:cs="Times New Roman"/>
          <w:i/>
          <w:iCs/>
          <w:sz w:val="22"/>
          <w:szCs w:val="22"/>
          <w:lang w:val="en-US"/>
        </w:rPr>
        <w:t xml:space="preserve">“franca </w:t>
      </w:r>
      <w:r w:rsidRPr="006E681A">
        <w:rPr>
          <w:rFonts w:ascii="Times New Roman" w:hAnsi="Times New Roman" w:cs="Times New Roman"/>
          <w:b/>
          <w:bCs/>
          <w:i/>
          <w:iCs/>
          <w:sz w:val="22"/>
          <w:szCs w:val="22"/>
          <w:lang w:val="en-US"/>
        </w:rPr>
        <w:t>violación del derecho a la defensa y al debido proceso</w:t>
      </w:r>
      <w:r w:rsidRPr="006E681A">
        <w:rPr>
          <w:rFonts w:ascii="Times New Roman" w:hAnsi="Times New Roman" w:cs="Times New Roman"/>
          <w:i/>
          <w:iCs/>
          <w:sz w:val="22"/>
          <w:szCs w:val="22"/>
          <w:lang w:val="en-US"/>
        </w:rPr>
        <w:t>”,</w:t>
      </w:r>
      <w:r w:rsidRPr="006E681A">
        <w:rPr>
          <w:rFonts w:ascii="Times New Roman" w:hAnsi="Times New Roman" w:cs="Times New Roman"/>
          <w:sz w:val="22"/>
          <w:szCs w:val="22"/>
          <w:lang w:val="en-US"/>
        </w:rPr>
        <w:t xml:space="preserve"> en virtud de la presunta ausencia o </w:t>
      </w:r>
      <w:r w:rsidRPr="006E681A">
        <w:rPr>
          <w:rFonts w:ascii="Times New Roman" w:hAnsi="Times New Roman" w:cs="Times New Roman"/>
          <w:sz w:val="22"/>
          <w:szCs w:val="22"/>
          <w:lang w:val="en-US"/>
        </w:rPr>
        <w:lastRenderedPageBreak/>
        <w:t>incumplimiento del procedimiento para la fiscalización y determinación tributaria, establecido en los artículos 177 y siguientes del Código Orgánico Tributario de 2001, a los fines de la formulación del “</w:t>
      </w:r>
      <w:r w:rsidRPr="006E681A">
        <w:rPr>
          <w:rFonts w:ascii="Times New Roman" w:hAnsi="Times New Roman" w:cs="Times New Roman"/>
          <w:i/>
          <w:iCs/>
          <w:sz w:val="22"/>
          <w:szCs w:val="22"/>
          <w:lang w:val="en-US"/>
        </w:rPr>
        <w:t>reparo fiscal</w:t>
      </w:r>
      <w:r w:rsidRPr="006E681A">
        <w:rPr>
          <w:rFonts w:ascii="Times New Roman" w:hAnsi="Times New Roman" w:cs="Times New Roman"/>
          <w:sz w:val="22"/>
          <w:szCs w:val="22"/>
          <w:lang w:val="en-US"/>
        </w:rPr>
        <w:t>”.</w:t>
      </w:r>
    </w:p>
    <w:p w:rsidR="00603A26" w:rsidRPr="006E681A" w:rsidRDefault="00603A26" w:rsidP="00603A26">
      <w:pPr>
        <w:widowControl w:val="0"/>
        <w:autoSpaceDE w:val="0"/>
        <w:autoSpaceDN w:val="0"/>
        <w:adjustRightInd w:val="0"/>
        <w:spacing w:after="2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3. Insiste en la nulidad solicitada, por cuanto la Gerencia de Fiscalización de Banco Nacional de Vivienda y Hábitat (BANAVIH) pretende determinar y exigir </w:t>
      </w:r>
      <w:r w:rsidRPr="006E681A">
        <w:rPr>
          <w:rFonts w:ascii="Times New Roman" w:hAnsi="Times New Roman" w:cs="Times New Roman"/>
          <w:i/>
          <w:iCs/>
          <w:sz w:val="22"/>
          <w:szCs w:val="22"/>
          <w:lang w:val="en-US"/>
        </w:rPr>
        <w:t>“obligaciones tributarias”</w:t>
      </w:r>
      <w:r w:rsidRPr="006E681A">
        <w:rPr>
          <w:rFonts w:ascii="Times New Roman" w:hAnsi="Times New Roman" w:cs="Times New Roman"/>
          <w:sz w:val="22"/>
          <w:szCs w:val="22"/>
          <w:lang w:val="en-US"/>
        </w:rPr>
        <w:t xml:space="preserve"> por concepto de aportes correspondientes al año 2003, los cuales aún en el supuesto negado de haber sido procedentes ya están extinguidos como consecuencia de </w:t>
      </w:r>
      <w:r w:rsidRPr="006E681A">
        <w:rPr>
          <w:rFonts w:ascii="Times New Roman" w:hAnsi="Times New Roman" w:cs="Times New Roman"/>
          <w:b/>
          <w:bCs/>
          <w:sz w:val="22"/>
          <w:szCs w:val="22"/>
          <w:lang w:val="en-US"/>
        </w:rPr>
        <w:t>la prescripción</w:t>
      </w:r>
      <w:r w:rsidRPr="006E681A">
        <w:rPr>
          <w:rFonts w:ascii="Times New Roman" w:hAnsi="Times New Roman" w:cs="Times New Roman"/>
          <w:sz w:val="22"/>
          <w:szCs w:val="22"/>
          <w:lang w:val="en-US"/>
        </w:rPr>
        <w:t xml:space="preserve">, contemplada en el artículo 55 del </w:t>
      </w:r>
      <w:r w:rsidRPr="00A87072">
        <w:rPr>
          <w:rFonts w:ascii="Times New Roman" w:hAnsi="Times New Roman" w:cs="Times New Roman"/>
          <w:sz w:val="22"/>
          <w:szCs w:val="22"/>
          <w:lang w:val="en-US"/>
        </w:rPr>
        <w:t>Código Orgánico Tributario de 2001.</w:t>
      </w:r>
    </w:p>
    <w:p w:rsidR="00603A26" w:rsidRPr="006E681A" w:rsidRDefault="00603A26" w:rsidP="00603A26">
      <w:pPr>
        <w:widowControl w:val="0"/>
        <w:autoSpaceDE w:val="0"/>
        <w:autoSpaceDN w:val="0"/>
        <w:adjustRightInd w:val="0"/>
        <w:spacing w:after="2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Sobre este último particular, agrega que el cómputo de la prescripción comenzó para los períodos enero-noviembre de 2003 a partir del 1° de enero de 2004, y para el período de diciembre de 2003 a partir del 12 de enero de 2004, con lo cual -a su decir- se consumó el lapso de prescripción el 1° de enero y el 12 de enero de 2008, respectivamente.</w:t>
      </w:r>
    </w:p>
    <w:p w:rsidR="00603A26" w:rsidRPr="006E681A" w:rsidRDefault="00603A26" w:rsidP="00603A26">
      <w:pPr>
        <w:widowControl w:val="0"/>
        <w:autoSpaceDE w:val="0"/>
        <w:autoSpaceDN w:val="0"/>
        <w:adjustRightInd w:val="0"/>
        <w:spacing w:after="2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A mayor abundamiento, trae a colación sentencias de la Sala Nros. 00354 del 28 de febrero de 2007, caso: </w:t>
      </w:r>
      <w:r w:rsidRPr="006E681A">
        <w:rPr>
          <w:rFonts w:ascii="Times New Roman" w:hAnsi="Times New Roman" w:cs="Times New Roman"/>
          <w:i/>
          <w:iCs/>
          <w:sz w:val="22"/>
          <w:szCs w:val="22"/>
          <w:lang w:val="en-US"/>
        </w:rPr>
        <w:t xml:space="preserve">Del Sur Banco Universal, C.A., </w:t>
      </w:r>
      <w:r w:rsidRPr="006E681A">
        <w:rPr>
          <w:rFonts w:ascii="Times New Roman" w:hAnsi="Times New Roman" w:cs="Times New Roman"/>
          <w:sz w:val="22"/>
          <w:szCs w:val="22"/>
          <w:lang w:val="en-US"/>
        </w:rPr>
        <w:t>01053 del 20 de junio de 2007, caso:</w:t>
      </w:r>
      <w:r w:rsidRPr="006E681A">
        <w:rPr>
          <w:rFonts w:ascii="Times New Roman" w:hAnsi="Times New Roman" w:cs="Times New Roman"/>
          <w:i/>
          <w:iCs/>
          <w:sz w:val="22"/>
          <w:szCs w:val="22"/>
          <w:lang w:val="en-US"/>
        </w:rPr>
        <w:t xml:space="preserve"> Inmobiliaria El Tuy, C.A. </w:t>
      </w:r>
      <w:r w:rsidRPr="006E681A">
        <w:rPr>
          <w:rFonts w:ascii="Times New Roman" w:hAnsi="Times New Roman" w:cs="Times New Roman"/>
          <w:sz w:val="22"/>
          <w:szCs w:val="22"/>
          <w:lang w:val="en-US"/>
        </w:rPr>
        <w:t xml:space="preserve">y la decisión de fecha 4 de diciembre de 2008 dictada por el Tribunal Superior de lo Contencioso Tributario de la Región Central, caso: </w:t>
      </w:r>
      <w:r w:rsidRPr="006E681A">
        <w:rPr>
          <w:rFonts w:ascii="Times New Roman" w:hAnsi="Times New Roman" w:cs="Times New Roman"/>
          <w:i/>
          <w:iCs/>
          <w:sz w:val="22"/>
          <w:szCs w:val="22"/>
          <w:lang w:val="en-US"/>
        </w:rPr>
        <w:t>Kellogg, S.A.</w:t>
      </w:r>
      <w:r w:rsidRPr="006E681A">
        <w:rPr>
          <w:rFonts w:ascii="Times New Roman" w:hAnsi="Times New Roman" w:cs="Times New Roman"/>
          <w:sz w:val="22"/>
          <w:szCs w:val="22"/>
          <w:lang w:val="en-US"/>
        </w:rPr>
        <w:t xml:space="preserve">, en las cuales se estableció la forma de realizar el cómputo para la </w:t>
      </w:r>
      <w:r w:rsidRPr="006E681A">
        <w:rPr>
          <w:rFonts w:ascii="Times New Roman" w:hAnsi="Times New Roman" w:cs="Times New Roman"/>
          <w:i/>
          <w:iCs/>
          <w:sz w:val="22"/>
          <w:szCs w:val="22"/>
          <w:lang w:val="en-US"/>
        </w:rPr>
        <w:t>“prescripción de la obligación tributaria”</w:t>
      </w:r>
      <w:r w:rsidRPr="006E681A">
        <w:rPr>
          <w:rFonts w:ascii="Times New Roman" w:hAnsi="Times New Roman" w:cs="Times New Roman"/>
          <w:sz w:val="22"/>
          <w:szCs w:val="22"/>
          <w:lang w:val="en-US"/>
        </w:rPr>
        <w:t>.</w:t>
      </w:r>
    </w:p>
    <w:p w:rsidR="00603A26" w:rsidRPr="006E681A" w:rsidRDefault="00603A26" w:rsidP="00603A26">
      <w:pPr>
        <w:widowControl w:val="0"/>
        <w:autoSpaceDE w:val="0"/>
        <w:autoSpaceDN w:val="0"/>
        <w:adjustRightInd w:val="0"/>
        <w:spacing w:after="2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4. Manifiesta la improcedencia del “</w:t>
      </w:r>
      <w:r w:rsidRPr="006E681A">
        <w:rPr>
          <w:rFonts w:ascii="Times New Roman" w:hAnsi="Times New Roman" w:cs="Times New Roman"/>
          <w:i/>
          <w:iCs/>
          <w:sz w:val="22"/>
          <w:szCs w:val="22"/>
          <w:lang w:val="en-US"/>
        </w:rPr>
        <w:t>reparo fiscal</w:t>
      </w:r>
      <w:r w:rsidRPr="006E681A">
        <w:rPr>
          <w:rFonts w:ascii="Times New Roman" w:hAnsi="Times New Roman" w:cs="Times New Roman"/>
          <w:sz w:val="22"/>
          <w:szCs w:val="22"/>
          <w:lang w:val="en-US"/>
        </w:rPr>
        <w:t xml:space="preserve">”, toda vez que fue dictado con fundamento en un </w:t>
      </w:r>
      <w:r w:rsidRPr="006E681A">
        <w:rPr>
          <w:rFonts w:ascii="Times New Roman" w:hAnsi="Times New Roman" w:cs="Times New Roman"/>
          <w:b/>
          <w:bCs/>
          <w:sz w:val="22"/>
          <w:szCs w:val="22"/>
          <w:lang w:val="en-US"/>
        </w:rPr>
        <w:t>falso supuesto de derecho</w:t>
      </w:r>
      <w:r w:rsidRPr="006E681A">
        <w:rPr>
          <w:rFonts w:ascii="Times New Roman" w:hAnsi="Times New Roman" w:cs="Times New Roman"/>
          <w:sz w:val="22"/>
          <w:szCs w:val="22"/>
          <w:lang w:val="en-US"/>
        </w:rPr>
        <w:t xml:space="preserve"> al incluir en la base imponible para el cálculo de los aportes correspondientes a los períodos revisados, conceptos que no corresponden al </w:t>
      </w:r>
      <w:r w:rsidRPr="006E681A">
        <w:rPr>
          <w:rFonts w:ascii="Times New Roman" w:hAnsi="Times New Roman" w:cs="Times New Roman"/>
          <w:i/>
          <w:iCs/>
          <w:sz w:val="22"/>
          <w:szCs w:val="22"/>
          <w:lang w:val="en-US"/>
        </w:rPr>
        <w:t>“salario normal”</w:t>
      </w:r>
      <w:r w:rsidRPr="006E681A">
        <w:rPr>
          <w:rFonts w:ascii="Times New Roman" w:hAnsi="Times New Roman" w:cs="Times New Roman"/>
          <w:sz w:val="22"/>
          <w:szCs w:val="22"/>
          <w:lang w:val="en-US"/>
        </w:rPr>
        <w:t>, tales como: utilidades, bono vacacional, horas extras y bonos extras-ejecutivos, bono de seguridad, bono de producción y excelencia; desconociendo con ello disposiciones establecidas en la hoy derogada Ley Orgánica del Trabajo y criterios vinculantes de la Sala Constitucional del Tribunal Supremo de Justicia, respecto a la base de cálculo de las contribuciones en el ámbito laboral.</w:t>
      </w:r>
    </w:p>
    <w:p w:rsidR="00603A26" w:rsidRPr="006E681A" w:rsidRDefault="00603A26" w:rsidP="00603A26">
      <w:pPr>
        <w:widowControl w:val="0"/>
        <w:autoSpaceDE w:val="0"/>
        <w:autoSpaceDN w:val="0"/>
        <w:adjustRightInd w:val="0"/>
        <w:spacing w:after="2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Advierte sobre la errónea interpretación en que habría incurrido la Gerencia de Fiscalización de Banco Nacional de Vivienda y Hábitat (BANAVIH), por fundamentar el acto administrativo impugnado en un falso supuesto al incluir en la base imponible de la cotización exigida conceptos que además de no ser </w:t>
      </w:r>
      <w:r w:rsidRPr="006E681A">
        <w:rPr>
          <w:rFonts w:ascii="Times New Roman" w:hAnsi="Times New Roman" w:cs="Times New Roman"/>
          <w:i/>
          <w:iCs/>
          <w:sz w:val="22"/>
          <w:szCs w:val="22"/>
          <w:lang w:val="en-US"/>
        </w:rPr>
        <w:t>“salario normal”</w:t>
      </w:r>
      <w:r w:rsidRPr="006E681A">
        <w:rPr>
          <w:rFonts w:ascii="Times New Roman" w:hAnsi="Times New Roman" w:cs="Times New Roman"/>
          <w:sz w:val="22"/>
          <w:szCs w:val="22"/>
          <w:lang w:val="en-US"/>
        </w:rPr>
        <w:t xml:space="preserve"> ni siquiera son salario, sino beneficios contractuales, tales como: cesta “ticket”, “ticket” juguete, suministro de útiles escolares, dotación de uniformes, transporte de personal, fiestas para el personal, guarderías, dotación de jabones, pago de inscripciones y dotación de uniformes para eventos deportivos, cursos de capacitación para el personal, servicios médicos de ambulancia para trabajadores.</w:t>
      </w:r>
    </w:p>
    <w:p w:rsidR="00603A26" w:rsidRPr="006E681A" w:rsidRDefault="00603A26" w:rsidP="00603A26">
      <w:pPr>
        <w:widowControl w:val="0"/>
        <w:autoSpaceDE w:val="0"/>
        <w:autoSpaceDN w:val="0"/>
        <w:adjustRightInd w:val="0"/>
        <w:spacing w:after="2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Esgrime que la citada Gerencia incurrió en un falso supuesto de derecho al ratificar en el acto administrativo recurrido el criterio de la funcionaria del Banco Nacional de Vivienda y Hábitat (BANAVIH), según el cual los aportes al Fondo de Ahorro Obligatorio para la Vivienda (FAOV) no tienen tope o límite para su cálculo; vale decir, que para los períodos objeto de análisis no existe norma legal alguna que contemple un tope máximo en el cálculo de los aportes patronales al mencionado Fondo, sin atender a lo previsto en el artículo 116 de la Ley Orgánica del Sistema de Seguridad Social para el cálculo de los aportes de la empresa recurrente, razón por la cual, </w:t>
      </w:r>
      <w:r w:rsidRPr="006E681A">
        <w:rPr>
          <w:rFonts w:ascii="Times New Roman" w:hAnsi="Times New Roman" w:cs="Times New Roman"/>
          <w:b/>
          <w:bCs/>
          <w:sz w:val="22"/>
          <w:szCs w:val="22"/>
          <w:lang w:val="en-US"/>
        </w:rPr>
        <w:t>debe declararse la nulidad absoluta</w:t>
      </w:r>
      <w:r w:rsidRPr="006E681A">
        <w:rPr>
          <w:rFonts w:ascii="Times New Roman" w:hAnsi="Times New Roman" w:cs="Times New Roman"/>
          <w:sz w:val="22"/>
          <w:szCs w:val="22"/>
          <w:lang w:val="en-US"/>
        </w:rPr>
        <w:t xml:space="preserve"> de la </w:t>
      </w:r>
      <w:r w:rsidRPr="006E681A">
        <w:rPr>
          <w:rFonts w:ascii="Times New Roman" w:hAnsi="Times New Roman" w:cs="Times New Roman"/>
          <w:i/>
          <w:iCs/>
          <w:sz w:val="22"/>
          <w:szCs w:val="22"/>
          <w:lang w:val="en-US"/>
        </w:rPr>
        <w:t>Resolución</w:t>
      </w:r>
      <w:r w:rsidRPr="006E681A">
        <w:rPr>
          <w:rFonts w:ascii="Times New Roman" w:hAnsi="Times New Roman" w:cs="Times New Roman"/>
          <w:sz w:val="22"/>
          <w:szCs w:val="22"/>
          <w:lang w:val="en-US"/>
        </w:rPr>
        <w:t xml:space="preserve"> impugnada, conforme a lo establecido en el numeral 4 del artículo 19 de la Ley Orgánica de Procedimientos Administrativos y numeral 4 del artículo 240 del Código Orgánico Tributario de 2001.</w:t>
      </w:r>
    </w:p>
    <w:p w:rsidR="00603A26" w:rsidRPr="006E681A" w:rsidRDefault="00603A26" w:rsidP="00603A26">
      <w:pPr>
        <w:widowControl w:val="0"/>
        <w:autoSpaceDE w:val="0"/>
        <w:autoSpaceDN w:val="0"/>
        <w:adjustRightInd w:val="0"/>
        <w:spacing w:after="2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Finalmente, solicita al Tribunal de instancia declarar: i) la suspensión de los efectos </w:t>
      </w:r>
      <w:r w:rsidRPr="006E681A">
        <w:rPr>
          <w:rFonts w:ascii="Times New Roman" w:hAnsi="Times New Roman" w:cs="Times New Roman"/>
          <w:sz w:val="22"/>
          <w:szCs w:val="22"/>
          <w:lang w:val="en-US"/>
        </w:rPr>
        <w:lastRenderedPageBreak/>
        <w:t xml:space="preserve">de la </w:t>
      </w:r>
      <w:r w:rsidRPr="006E681A">
        <w:rPr>
          <w:rFonts w:ascii="Times New Roman" w:hAnsi="Times New Roman" w:cs="Times New Roman"/>
          <w:i/>
          <w:iCs/>
          <w:sz w:val="22"/>
          <w:szCs w:val="22"/>
          <w:lang w:val="en-US"/>
        </w:rPr>
        <w:t xml:space="preserve">Resolución </w:t>
      </w:r>
      <w:r w:rsidRPr="006E681A">
        <w:rPr>
          <w:rFonts w:ascii="Times New Roman" w:hAnsi="Times New Roman" w:cs="Times New Roman"/>
          <w:sz w:val="22"/>
          <w:szCs w:val="22"/>
          <w:lang w:val="en-US"/>
        </w:rPr>
        <w:t>Nro.</w:t>
      </w:r>
      <w:r w:rsidRPr="006E681A">
        <w:rPr>
          <w:rFonts w:ascii="Times New Roman" w:hAnsi="Times New Roman" w:cs="Times New Roman"/>
          <w:i/>
          <w:iCs/>
          <w:sz w:val="22"/>
          <w:szCs w:val="22"/>
          <w:lang w:val="en-US"/>
        </w:rPr>
        <w:t xml:space="preserve"> 0129 </w:t>
      </w:r>
      <w:r w:rsidRPr="006E681A">
        <w:rPr>
          <w:rFonts w:ascii="Times New Roman" w:hAnsi="Times New Roman" w:cs="Times New Roman"/>
          <w:sz w:val="22"/>
          <w:szCs w:val="22"/>
          <w:lang w:val="en-US"/>
        </w:rPr>
        <w:t xml:space="preserve">de fecha 6 de abril de 2009, emanada de la Gerencia de Fiscalización del Banco Nacional de Vivienda y Hábitat (BANAVIH), en atención a lo preceptuado en el artículo 263 </w:t>
      </w:r>
      <w:r w:rsidRPr="006E681A">
        <w:rPr>
          <w:rFonts w:ascii="Times New Roman" w:hAnsi="Times New Roman" w:cs="Times New Roman"/>
          <w:i/>
          <w:iCs/>
          <w:sz w:val="22"/>
          <w:szCs w:val="22"/>
          <w:lang w:val="en-US"/>
        </w:rPr>
        <w:t>eiusdem</w:t>
      </w:r>
      <w:r w:rsidRPr="006E681A">
        <w:rPr>
          <w:rFonts w:ascii="Times New Roman" w:hAnsi="Times New Roman" w:cs="Times New Roman"/>
          <w:sz w:val="22"/>
          <w:szCs w:val="22"/>
          <w:lang w:val="en-US"/>
        </w:rPr>
        <w:t>; ii) con lugar el recurso contencioso tributario; ii) la nulidad absoluta del aludido acto administrativo; iv) la condenatoria en costas procesales al referido Banco, de acuerdo a lo contemplado en el artículo 327 del Código Orgánico Tributario de 2001.</w:t>
      </w:r>
    </w:p>
    <w:p w:rsidR="00603A26" w:rsidRPr="006E681A" w:rsidRDefault="00603A26" w:rsidP="00603A26">
      <w:pPr>
        <w:widowControl w:val="0"/>
        <w:autoSpaceDE w:val="0"/>
        <w:autoSpaceDN w:val="0"/>
        <w:adjustRightInd w:val="0"/>
        <w:spacing w:after="2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Mediante sentencia interlocutoria Nro. 047/2010 del 19 de marzo de 2010, el Tribunal Superior Cuarto de lo Contencioso Tributario de la Circunscripción Judicial del Área Metropolitana de Caracas, al que correspondió el conocimiento de la causa previa distribución, declaró procedente la medida cautelar de suspensión de efectos solicitada por la sociedad de comercio recurrente, conforme a lo previsto en el artículo 263 del Código Orgánico Tributario de 2001, a los fines de impedir el cobro de los montos totales de Dos Millones Doscientos Cincuenta y Cuatro Mil Ciento Sesenta y Nueve Bolívares con Cinco Céntimos (Bs. 2.254.169,05), determinados por el Banco Nacional de Vivienda y Hábitat (BANAVIH). Asimismo, declaró improcedente la solicitud consistente en ordenarle al referido Banco la expedición </w:t>
      </w:r>
      <w:proofErr w:type="gramStart"/>
      <w:r w:rsidRPr="006E681A">
        <w:rPr>
          <w:rFonts w:ascii="Times New Roman" w:hAnsi="Times New Roman" w:cs="Times New Roman"/>
          <w:sz w:val="22"/>
          <w:szCs w:val="22"/>
          <w:lang w:val="en-US"/>
        </w:rPr>
        <w:t>del</w:t>
      </w:r>
      <w:proofErr w:type="gramEnd"/>
      <w:r w:rsidRPr="006E681A">
        <w:rPr>
          <w:rFonts w:ascii="Times New Roman" w:hAnsi="Times New Roman" w:cs="Times New Roman"/>
          <w:sz w:val="22"/>
          <w:szCs w:val="22"/>
          <w:lang w:val="en-US"/>
        </w:rPr>
        <w:t xml:space="preserve"> respectivo certificado de solvencia.</w:t>
      </w:r>
    </w:p>
    <w:p w:rsidR="00603A26" w:rsidRPr="006E681A" w:rsidRDefault="00603A26" w:rsidP="00603A26">
      <w:pPr>
        <w:widowControl w:val="0"/>
        <w:autoSpaceDE w:val="0"/>
        <w:autoSpaceDN w:val="0"/>
        <w:adjustRightInd w:val="0"/>
        <w:spacing w:after="260"/>
        <w:ind w:right="260" w:firstLine="940"/>
        <w:jc w:val="center"/>
        <w:rPr>
          <w:rFonts w:ascii="Times New Roman" w:hAnsi="Times New Roman" w:cs="Times New Roman"/>
          <w:sz w:val="22"/>
          <w:szCs w:val="22"/>
          <w:lang w:val="en-US"/>
        </w:rPr>
      </w:pPr>
      <w:r w:rsidRPr="006E681A">
        <w:rPr>
          <w:rFonts w:ascii="Times New Roman" w:hAnsi="Times New Roman" w:cs="Times New Roman"/>
          <w:b/>
          <w:bCs/>
          <w:sz w:val="22"/>
          <w:szCs w:val="22"/>
          <w:lang w:val="en-US"/>
        </w:rPr>
        <w:t>II</w:t>
      </w:r>
    </w:p>
    <w:p w:rsidR="00603A26" w:rsidRPr="006E681A" w:rsidRDefault="00603A26" w:rsidP="00603A26">
      <w:pPr>
        <w:widowControl w:val="0"/>
        <w:autoSpaceDE w:val="0"/>
        <w:autoSpaceDN w:val="0"/>
        <w:adjustRightInd w:val="0"/>
        <w:spacing w:after="260"/>
        <w:ind w:right="260" w:firstLine="940"/>
        <w:jc w:val="center"/>
        <w:rPr>
          <w:rFonts w:ascii="Times New Roman" w:hAnsi="Times New Roman" w:cs="Times New Roman"/>
          <w:sz w:val="22"/>
          <w:szCs w:val="22"/>
          <w:lang w:val="en-US"/>
        </w:rPr>
      </w:pPr>
      <w:r w:rsidRPr="006E681A">
        <w:rPr>
          <w:rFonts w:ascii="Times New Roman" w:hAnsi="Times New Roman" w:cs="Times New Roman"/>
          <w:b/>
          <w:bCs/>
          <w:sz w:val="22"/>
          <w:szCs w:val="22"/>
          <w:lang w:val="en-US"/>
        </w:rPr>
        <w:t>DE LA SENTENCIA APELADA</w:t>
      </w:r>
    </w:p>
    <w:p w:rsidR="00603A26" w:rsidRPr="006E681A" w:rsidRDefault="00603A26" w:rsidP="00603A26">
      <w:pPr>
        <w:widowControl w:val="0"/>
        <w:autoSpaceDE w:val="0"/>
        <w:autoSpaceDN w:val="0"/>
        <w:adjustRightInd w:val="0"/>
        <w:spacing w:after="2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El Tribunal Superior Cuarto de lo Contencioso Tributario de la Circunscripción Judicial del Área Metropolitana de Caracas, mediante sentencia definitiva Nro. 022/2011 de fecha 16 de marzo de 2011 declaró con lugar el </w:t>
      </w:r>
      <w:r w:rsidRPr="006E681A">
        <w:rPr>
          <w:rFonts w:ascii="Times New Roman" w:hAnsi="Times New Roman" w:cs="Times New Roman"/>
          <w:i/>
          <w:iCs/>
          <w:sz w:val="22"/>
          <w:szCs w:val="22"/>
          <w:lang w:val="en-US"/>
        </w:rPr>
        <w:t>“recurso contencioso tributario”</w:t>
      </w:r>
      <w:r w:rsidRPr="006E681A">
        <w:rPr>
          <w:rFonts w:ascii="Times New Roman" w:hAnsi="Times New Roman" w:cs="Times New Roman"/>
          <w:sz w:val="22"/>
          <w:szCs w:val="22"/>
          <w:lang w:val="en-US"/>
        </w:rPr>
        <w:t xml:space="preserve"> interpuesto conjuntamente con solicitud de medida cautelar de suspensión de efectos por el apoderado judicial de la sociedad mercantil ACBL de Venezuela, C.A. Basó la decisión en los argumentos siguientes:</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i/>
          <w:iCs/>
          <w:sz w:val="22"/>
          <w:szCs w:val="22"/>
          <w:lang w:val="en-US"/>
        </w:rPr>
        <w:t>“</w:t>
      </w:r>
      <w:r w:rsidRPr="006E681A">
        <w:rPr>
          <w:rFonts w:ascii="Times New Roman" w:hAnsi="Times New Roman" w:cs="Times New Roman"/>
          <w:sz w:val="22"/>
          <w:szCs w:val="22"/>
          <w:lang w:val="en-US"/>
        </w:rPr>
        <w:t xml:space="preserve">(…) </w:t>
      </w:r>
      <w:r w:rsidRPr="006E681A">
        <w:rPr>
          <w:rFonts w:ascii="Times New Roman" w:hAnsi="Times New Roman" w:cs="Times New Roman"/>
          <w:b/>
          <w:bCs/>
          <w:i/>
          <w:iCs/>
          <w:sz w:val="22"/>
          <w:szCs w:val="22"/>
          <w:lang w:val="en-US"/>
        </w:rPr>
        <w:t>PRESCRIPCIÓN</w:t>
      </w:r>
      <w:r w:rsidRPr="006E681A">
        <w:rPr>
          <w:rFonts w:ascii="Times New Roman" w:hAnsi="Times New Roman" w:cs="Times New Roman"/>
          <w:i/>
          <w:iCs/>
          <w:sz w:val="22"/>
          <w:szCs w:val="22"/>
          <w:lang w:val="en-US"/>
        </w:rPr>
        <w:t>.</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 </w:t>
      </w:r>
      <w:r w:rsidRPr="006E681A">
        <w:rPr>
          <w:rFonts w:ascii="Times New Roman" w:hAnsi="Times New Roman" w:cs="Times New Roman"/>
          <w:i/>
          <w:iCs/>
          <w:sz w:val="22"/>
          <w:szCs w:val="22"/>
          <w:lang w:val="en-US"/>
        </w:rPr>
        <w:t>la prescripción de la acción de fiscalización y/o cobro desarrollada por el ente tributario, correspondiente a diciembre 2003, se inició a partir del 1º de enero de 2004, para culminar el 1º de enero de 2008, sin haber existido durante este período actuación administrativa alguna dirigida a determinar el cumplimiento de la obligación tributaria, pues el levantamiento del Acta de Reparo se realizó el 20 de noviembre de 2008; por lo que es evidente que, para el mes objetado en el año 2003, operó la extinción, por prescripción, de esa obligación tributaria. Así se declara.</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i/>
          <w:iCs/>
          <w:sz w:val="22"/>
          <w:szCs w:val="22"/>
          <w:lang w:val="en-US"/>
        </w:rPr>
        <w:t xml:space="preserve">Siguiendo con el orden de las defensas alegadas, esta Juzgadora se pronuncia con respecto a la legalidad de la actuación desplegada por el ente tributario al formular el reparo, al no ceñirse la Administración Tributaria </w:t>
      </w:r>
      <w:r w:rsidRPr="006E681A">
        <w:rPr>
          <w:rFonts w:ascii="Times New Roman" w:hAnsi="Times New Roman" w:cs="Times New Roman"/>
          <w:sz w:val="22"/>
          <w:szCs w:val="22"/>
          <w:lang w:val="en-US"/>
        </w:rPr>
        <w:t>(sic)</w:t>
      </w:r>
      <w:r w:rsidRPr="006E681A">
        <w:rPr>
          <w:rFonts w:ascii="Times New Roman" w:hAnsi="Times New Roman" w:cs="Times New Roman"/>
          <w:i/>
          <w:iCs/>
          <w:sz w:val="22"/>
          <w:szCs w:val="22"/>
          <w:lang w:val="en-US"/>
        </w:rPr>
        <w:t xml:space="preserve"> a las disposiciones de los Artículos 177 y siguientes del Código Orgánico Tributario, referidos al procedimiento de fiscalización y determinación tributaria.</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i/>
          <w:iCs/>
          <w:sz w:val="22"/>
          <w:szCs w:val="22"/>
          <w:lang w:val="en-US"/>
        </w:rPr>
        <w:t xml:space="preserve">No obstante, previo a dicho pronunciamiento esta Juzgadora debe referirse, a la naturaleza jurídica tributaria de tales aportes; </w:t>
      </w:r>
      <w:r w:rsidRPr="006E681A">
        <w:rPr>
          <w:rFonts w:ascii="Times New Roman" w:hAnsi="Times New Roman" w:cs="Times New Roman"/>
          <w:i/>
          <w:iCs/>
          <w:sz w:val="22"/>
          <w:szCs w:val="22"/>
          <w:lang w:val="en-US"/>
        </w:rPr>
        <w:lastRenderedPageBreak/>
        <w:t xml:space="preserve">y, en </w:t>
      </w:r>
      <w:proofErr w:type="gramStart"/>
      <w:r w:rsidRPr="006E681A">
        <w:rPr>
          <w:rFonts w:ascii="Times New Roman" w:hAnsi="Times New Roman" w:cs="Times New Roman"/>
          <w:i/>
          <w:iCs/>
          <w:sz w:val="22"/>
          <w:szCs w:val="22"/>
          <w:lang w:val="en-US"/>
        </w:rPr>
        <w:t>tal</w:t>
      </w:r>
      <w:proofErr w:type="gramEnd"/>
      <w:r w:rsidRPr="006E681A">
        <w:rPr>
          <w:rFonts w:ascii="Times New Roman" w:hAnsi="Times New Roman" w:cs="Times New Roman"/>
          <w:i/>
          <w:iCs/>
          <w:sz w:val="22"/>
          <w:szCs w:val="22"/>
          <w:lang w:val="en-US"/>
        </w:rPr>
        <w:t xml:space="preserve"> sentido, el Alto Tribunal ha declarado:</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 </w:t>
      </w:r>
      <w:r w:rsidRPr="006E681A">
        <w:rPr>
          <w:rFonts w:ascii="Times New Roman" w:hAnsi="Times New Roman" w:cs="Times New Roman"/>
          <w:i/>
          <w:iCs/>
          <w:sz w:val="22"/>
          <w:szCs w:val="22"/>
          <w:lang w:val="en-US"/>
        </w:rPr>
        <w:t xml:space="preserve">Ahora bien, en el caso de autos, declarada como ha sido la naturaleza tributaria de la contribución parafiscal exigida a la empresa </w:t>
      </w:r>
      <w:r w:rsidRPr="006E681A">
        <w:rPr>
          <w:rFonts w:ascii="Times New Roman" w:hAnsi="Times New Roman" w:cs="Times New Roman"/>
          <w:b/>
          <w:bCs/>
          <w:i/>
          <w:iCs/>
          <w:sz w:val="22"/>
          <w:szCs w:val="22"/>
          <w:lang w:val="en-US"/>
        </w:rPr>
        <w:t>ACBL DE VENEZUELA, C.A.</w:t>
      </w:r>
      <w:r w:rsidRPr="006E681A">
        <w:rPr>
          <w:rFonts w:ascii="Times New Roman" w:hAnsi="Times New Roman" w:cs="Times New Roman"/>
          <w:i/>
          <w:iCs/>
          <w:sz w:val="22"/>
          <w:szCs w:val="22"/>
          <w:lang w:val="en-US"/>
        </w:rPr>
        <w:t xml:space="preserve"> de acuerdo con lo dispuesto en el artículo 1º del Código Orgánico Tributario, es indudable la aplicación de éste a todas las relaciones jurídicas derivadas de ese tributo, ‘</w:t>
      </w:r>
      <w:r w:rsidRPr="006E681A">
        <w:rPr>
          <w:rFonts w:ascii="Times New Roman" w:hAnsi="Times New Roman" w:cs="Times New Roman"/>
          <w:sz w:val="22"/>
          <w:szCs w:val="22"/>
          <w:lang w:val="en-US"/>
        </w:rPr>
        <w:t>(…)</w:t>
      </w:r>
      <w:r w:rsidRPr="006E681A">
        <w:rPr>
          <w:rFonts w:ascii="Times New Roman" w:hAnsi="Times New Roman" w:cs="Times New Roman"/>
          <w:i/>
          <w:iCs/>
          <w:sz w:val="22"/>
          <w:szCs w:val="22"/>
          <w:lang w:val="en-US"/>
        </w:rPr>
        <w:t xml:space="preserve"> por ser éste el instrumento normativo general de la materia tributaria… y frente a la ausencia de una regulación específica prevista en la normativa que establece la contribución parafiscal en referencia (Ley del Régimen Prestacional de Vivienda y Hábitat) </w:t>
      </w:r>
      <w:r w:rsidRPr="006E681A">
        <w:rPr>
          <w:rFonts w:ascii="Times New Roman" w:hAnsi="Times New Roman" w:cs="Times New Roman"/>
          <w:sz w:val="22"/>
          <w:szCs w:val="22"/>
          <w:lang w:val="en-US"/>
        </w:rPr>
        <w:t>(…)</w:t>
      </w:r>
      <w:r w:rsidRPr="006E681A">
        <w:rPr>
          <w:rFonts w:ascii="Times New Roman" w:hAnsi="Times New Roman" w:cs="Times New Roman"/>
          <w:i/>
          <w:iCs/>
          <w:sz w:val="22"/>
          <w:szCs w:val="22"/>
          <w:lang w:val="en-US"/>
        </w:rPr>
        <w:t>’.</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 </w:t>
      </w:r>
      <w:r w:rsidRPr="006E681A">
        <w:rPr>
          <w:rFonts w:ascii="Times New Roman" w:hAnsi="Times New Roman" w:cs="Times New Roman"/>
          <w:i/>
          <w:iCs/>
          <w:sz w:val="22"/>
          <w:szCs w:val="22"/>
          <w:lang w:val="en-US"/>
        </w:rPr>
        <w:t xml:space="preserve">Así, observa el Tribunal que el Acta de Fiscalización No. 2008-238-1 de fecha 20 de noviembre de 2008 </w:t>
      </w:r>
      <w:r w:rsidRPr="006E681A">
        <w:rPr>
          <w:rFonts w:ascii="Times New Roman" w:hAnsi="Times New Roman" w:cs="Times New Roman"/>
          <w:sz w:val="22"/>
          <w:szCs w:val="22"/>
          <w:lang w:val="en-US"/>
        </w:rPr>
        <w:t>(…)</w:t>
      </w:r>
      <w:r w:rsidRPr="006E681A">
        <w:rPr>
          <w:rFonts w:ascii="Times New Roman" w:hAnsi="Times New Roman" w:cs="Times New Roman"/>
          <w:i/>
          <w:iCs/>
          <w:sz w:val="22"/>
          <w:szCs w:val="22"/>
          <w:lang w:val="en-US"/>
        </w:rPr>
        <w:t>, no ofrece la subsiguiente oportunidad para el contribuyente de allanarse y/o presentar descargos en su contra que darían lugar a la tramitación de un sumario administrativo y culminaría con una resolución culminatoria, contentiva de la confirmatoria, o modificación de la determinación inicialmente practicada en la referida Acta; tal y como consagran los mencionados artículos del Código Orgánico Tributario. Incluso, ni siquiera menciona el artículo 86 de la Ley Orgánica de Procedimientos Administrativos que, de una manera muy genérica, le brindaría la oportunidad del ejercicio de su defensa.</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 </w:t>
      </w:r>
      <w:r w:rsidRPr="006E681A">
        <w:rPr>
          <w:rFonts w:ascii="Times New Roman" w:hAnsi="Times New Roman" w:cs="Times New Roman"/>
          <w:i/>
          <w:iCs/>
          <w:sz w:val="22"/>
          <w:szCs w:val="22"/>
          <w:lang w:val="en-US"/>
        </w:rPr>
        <w:t xml:space="preserve">Por las razones antes expuestas, este Tribunal declara la nulidad absoluta de la Resolución No. 129 de fecha 06 de abril de 2009, dictada por la Gerencia de Fiscalización del </w:t>
      </w:r>
      <w:r w:rsidRPr="006E681A">
        <w:rPr>
          <w:rFonts w:ascii="Times New Roman" w:hAnsi="Times New Roman" w:cs="Times New Roman"/>
          <w:sz w:val="22"/>
          <w:szCs w:val="22"/>
          <w:lang w:val="en-US"/>
        </w:rPr>
        <w:t>(…)</w:t>
      </w:r>
      <w:r w:rsidRPr="006E681A">
        <w:rPr>
          <w:rFonts w:ascii="Times New Roman" w:hAnsi="Times New Roman" w:cs="Times New Roman"/>
          <w:i/>
          <w:iCs/>
          <w:sz w:val="22"/>
          <w:szCs w:val="22"/>
          <w:lang w:val="en-US"/>
        </w:rPr>
        <w:t xml:space="preserve"> (BANAVIH), al incurrir en la causal descrita en el numeral 4 del Artículo 19 de la Ley Orgánica de Procedimientos Administrativos, en concordancia con el numeral 4 del artículo 240 del Código Orgánico Tributario. </w:t>
      </w:r>
      <w:r w:rsidRPr="006E681A">
        <w:rPr>
          <w:rFonts w:ascii="Times New Roman" w:hAnsi="Times New Roman" w:cs="Times New Roman"/>
          <w:b/>
          <w:bCs/>
          <w:i/>
          <w:iCs/>
          <w:sz w:val="22"/>
          <w:szCs w:val="22"/>
          <w:lang w:val="en-US"/>
        </w:rPr>
        <w:t>Así se declara</w:t>
      </w:r>
      <w:r w:rsidRPr="006E681A">
        <w:rPr>
          <w:rFonts w:ascii="Times New Roman" w:hAnsi="Times New Roman" w:cs="Times New Roman"/>
          <w:i/>
          <w:iCs/>
          <w:sz w:val="22"/>
          <w:szCs w:val="22"/>
          <w:lang w:val="en-US"/>
        </w:rPr>
        <w:t>.</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i/>
          <w:iCs/>
          <w:sz w:val="22"/>
          <w:szCs w:val="22"/>
          <w:lang w:val="en-US"/>
        </w:rPr>
        <w:t>No obstante haber sido declarada la nulidad absoluta del acto recurrido, este Órgano Jurisdiccional en ejercicio del control del principio de la legalidad, que le confiere los artículos 26 y 259 de la Constitución de la República Bolivariana de Venezuela, pasa a pronunciarse sobre el fondo de la controversia.</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i/>
          <w:iCs/>
          <w:sz w:val="22"/>
          <w:szCs w:val="22"/>
          <w:lang w:val="en-US"/>
        </w:rPr>
        <w:t>En tal sentido, la recurrente afirma, que el salario normal constituye la base imponible de la contribución de carácter tributaria establecida en la Ley del Régimen Prestacional de Vivienda y Hábitat, ello en virtud de lo previsto en el artículo 133 de la Ley Orgánica del Trabajo y la reiterada y pacífica jurisprudencia emanada de los Tribunales Superiores de lo Contencioso Tributario, de las Salas Político Administrativa y Constitucional del Tribunal Supremo de Justicia.</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 </w:t>
      </w:r>
      <w:r w:rsidRPr="006E681A">
        <w:rPr>
          <w:rFonts w:ascii="Times New Roman" w:hAnsi="Times New Roman" w:cs="Times New Roman"/>
          <w:i/>
          <w:iCs/>
          <w:sz w:val="22"/>
          <w:szCs w:val="22"/>
          <w:lang w:val="en-US"/>
        </w:rPr>
        <w:t xml:space="preserve">En base a los razonamientos que anteceden, esta Sentenciadora concluye que el término ‘ingreso total mensual’ </w:t>
      </w:r>
      <w:r w:rsidRPr="006E681A">
        <w:rPr>
          <w:rFonts w:ascii="Times New Roman" w:hAnsi="Times New Roman" w:cs="Times New Roman"/>
          <w:i/>
          <w:iCs/>
          <w:sz w:val="22"/>
          <w:szCs w:val="22"/>
          <w:lang w:val="en-US"/>
        </w:rPr>
        <w:lastRenderedPageBreak/>
        <w:t xml:space="preserve">contenido en el numeral 1 del Artículo 172 de la Ley del Régimen Prestacional de Vivienda y Hábitat, se debe interpretar conforme al texto del Parágrafo Segundo del Artículo 133 de la Ley Orgánica del Trabajo, tomando en cuenta la Ley marco de la seguridad social, en armonía con las consideraciones adoptadas por el Alto Tribunal, que se concretan en la aplicación de la noción de salario normal; de esta manera, este Tribunal declara procedente el alegato invocado por la recurrente al denunciar la errónea interpretación aplicada por la Administración Tributaria para la determinación de la base imponible para el cálculo de los aportes al Fondo de Ahorro Obligatorio para la Vivienda (FAOV), generando un acto administrativo viciado de nulidad absoluta en los términos descritos en el numeral 3 del artículo 240 del Código Orgánico Tributario, en concordancia con el numeral 3 del artículo 19 de la Ley Orgánica de Procedimientos Administrativos. </w:t>
      </w:r>
      <w:r w:rsidRPr="006E681A">
        <w:rPr>
          <w:rFonts w:ascii="Times New Roman" w:hAnsi="Times New Roman" w:cs="Times New Roman"/>
          <w:b/>
          <w:bCs/>
          <w:i/>
          <w:iCs/>
          <w:sz w:val="22"/>
          <w:szCs w:val="22"/>
          <w:lang w:val="en-US"/>
        </w:rPr>
        <w:t>Así se decide.</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 </w:t>
      </w:r>
      <w:r w:rsidRPr="006E681A">
        <w:rPr>
          <w:rFonts w:ascii="Times New Roman" w:hAnsi="Times New Roman" w:cs="Times New Roman"/>
          <w:i/>
          <w:iCs/>
          <w:sz w:val="22"/>
          <w:szCs w:val="22"/>
          <w:lang w:val="en-US"/>
        </w:rPr>
        <w:t xml:space="preserve">Teniendo en cuenta lo anterior, el sistema de seguridad social está regulado por la Ley Orgánica del Sistema de Seguridad Social, publicada en la Gaceta Oficial No. 37.600 del 30 de diciembre de 2002, como marco normativo que regula el sistema de la seguridad social y es de aplicación inmediata para todos los subsistemas y regímenes prestacionales, y como consecuencia el régimen prestacional de vivienda y hábitat se encuentra enmarcado dentro del Sistema de Seguridad Social, como lo dispone el artículo 19 de la mencionada Ley, que es del tenor siguiente: </w:t>
      </w:r>
      <w:r w:rsidRPr="006E681A">
        <w:rPr>
          <w:rFonts w:ascii="Times New Roman" w:hAnsi="Times New Roman" w:cs="Times New Roman"/>
          <w:sz w:val="22"/>
          <w:szCs w:val="22"/>
          <w:lang w:val="en-US"/>
        </w:rPr>
        <w:t>(…).</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 </w:t>
      </w:r>
      <w:r w:rsidRPr="006E681A">
        <w:rPr>
          <w:rFonts w:ascii="Times New Roman" w:hAnsi="Times New Roman" w:cs="Times New Roman"/>
          <w:i/>
          <w:iCs/>
          <w:sz w:val="22"/>
          <w:szCs w:val="22"/>
          <w:lang w:val="en-US"/>
        </w:rPr>
        <w:t xml:space="preserve">En base a los razonamientos anteriores, esta Sentenciadora concluye que el término ‘ingreso total mensual’ contenido en el numeral 1 del Artículo 172 de la Ley del Régimen Prestacional de Vivienda y Hábitat, se debe interpretar conforme al texto del Parágrafo Segundo del Artículo 133 de la Ley Orgánica del Trabajo, tomando en cuenta su carácter de Ley marco de la seguridad social, en armonía con los principios constitucionales de capacidad económica y de prohibición de efectos confiscatorios de los tributos, señalados por la Sala Constitucional, que se concretan en la aplicación de la noción de salario normal. Por lo tanto, este ingreso total mensual se entiende como el salario normal del trabajador, en atención a la interpretación fijada por la Sala Constitucional acerca del sentido y alcance del concepto de salario normal; en consecuencia, este Tribunal declara procedente el alegato invocado por la recurrente en este aspecto, debiendo determinarse como base imponible para el cálculo de los aportes al Fondo de Ahorro Obligatorio para la Vivienda (FAOV), el salario normal del trabajador. </w:t>
      </w:r>
      <w:r w:rsidRPr="006E681A">
        <w:rPr>
          <w:rFonts w:ascii="Times New Roman" w:hAnsi="Times New Roman" w:cs="Times New Roman"/>
          <w:b/>
          <w:bCs/>
          <w:i/>
          <w:iCs/>
          <w:sz w:val="22"/>
          <w:szCs w:val="22"/>
          <w:lang w:val="en-US"/>
        </w:rPr>
        <w:t>Así se declara.</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i/>
          <w:iCs/>
          <w:sz w:val="22"/>
          <w:szCs w:val="22"/>
          <w:lang w:val="en-US"/>
        </w:rPr>
        <w:t xml:space="preserve">Suficientemente </w:t>
      </w:r>
      <w:proofErr w:type="gramStart"/>
      <w:r w:rsidRPr="006E681A">
        <w:rPr>
          <w:rFonts w:ascii="Times New Roman" w:hAnsi="Times New Roman" w:cs="Times New Roman"/>
          <w:i/>
          <w:iCs/>
          <w:sz w:val="22"/>
          <w:szCs w:val="22"/>
          <w:lang w:val="en-US"/>
        </w:rPr>
        <w:t>como</w:t>
      </w:r>
      <w:proofErr w:type="gramEnd"/>
      <w:r w:rsidRPr="006E681A">
        <w:rPr>
          <w:rFonts w:ascii="Times New Roman" w:hAnsi="Times New Roman" w:cs="Times New Roman"/>
          <w:i/>
          <w:iCs/>
          <w:sz w:val="22"/>
          <w:szCs w:val="22"/>
          <w:lang w:val="en-US"/>
        </w:rPr>
        <w:t xml:space="preserve"> ha sido declarada la nulidad absoluta del acto recurrido, esta Juzgadora estima inoficioso seguir conocimiento el resto de los alegatos sometidos a su </w:t>
      </w:r>
      <w:r w:rsidRPr="006E681A">
        <w:rPr>
          <w:rFonts w:ascii="Times New Roman" w:hAnsi="Times New Roman" w:cs="Times New Roman"/>
          <w:i/>
          <w:iCs/>
          <w:sz w:val="22"/>
          <w:szCs w:val="22"/>
          <w:lang w:val="en-US"/>
        </w:rPr>
        <w:lastRenderedPageBreak/>
        <w:t xml:space="preserve">consideración. </w:t>
      </w:r>
      <w:r w:rsidRPr="006E681A">
        <w:rPr>
          <w:rFonts w:ascii="Times New Roman" w:hAnsi="Times New Roman" w:cs="Times New Roman"/>
          <w:b/>
          <w:bCs/>
          <w:i/>
          <w:iCs/>
          <w:sz w:val="22"/>
          <w:szCs w:val="22"/>
          <w:lang w:val="en-US"/>
        </w:rPr>
        <w:t>Así se decide.</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 </w:t>
      </w:r>
      <w:r w:rsidRPr="006E681A">
        <w:rPr>
          <w:rFonts w:ascii="Times New Roman" w:hAnsi="Times New Roman" w:cs="Times New Roman"/>
          <w:i/>
          <w:iCs/>
          <w:sz w:val="22"/>
          <w:szCs w:val="22"/>
          <w:lang w:val="en-US"/>
        </w:rPr>
        <w:t xml:space="preserve">De acuerdo a las consideraciones precedentes, este Tribunal Superior Cuarto de lo Contencioso Tributario de la Circunscripción Judicial del Área Metropolitana de Caracas, administrando justicia en nombre de la República y por autoridad de la Ley, declara </w:t>
      </w:r>
      <w:r w:rsidRPr="006E681A">
        <w:rPr>
          <w:rFonts w:ascii="Times New Roman" w:hAnsi="Times New Roman" w:cs="Times New Roman"/>
          <w:b/>
          <w:bCs/>
          <w:i/>
          <w:iCs/>
          <w:sz w:val="22"/>
          <w:szCs w:val="22"/>
          <w:lang w:val="en-US"/>
        </w:rPr>
        <w:t>CON LUGAR</w:t>
      </w:r>
      <w:r w:rsidRPr="006E681A">
        <w:rPr>
          <w:rFonts w:ascii="Times New Roman" w:hAnsi="Times New Roman" w:cs="Times New Roman"/>
          <w:i/>
          <w:iCs/>
          <w:sz w:val="22"/>
          <w:szCs w:val="22"/>
          <w:lang w:val="en-US"/>
        </w:rPr>
        <w:t xml:space="preserve"> el recurso contencioso tributario interpuesto por la </w:t>
      </w:r>
      <w:r w:rsidRPr="006E681A">
        <w:rPr>
          <w:rFonts w:ascii="Times New Roman" w:hAnsi="Times New Roman" w:cs="Times New Roman"/>
          <w:sz w:val="22"/>
          <w:szCs w:val="22"/>
          <w:lang w:val="en-US"/>
        </w:rPr>
        <w:t>(…)</w:t>
      </w:r>
      <w:r w:rsidRPr="006E681A">
        <w:rPr>
          <w:rFonts w:ascii="Times New Roman" w:hAnsi="Times New Roman" w:cs="Times New Roman"/>
          <w:i/>
          <w:iCs/>
          <w:sz w:val="22"/>
          <w:szCs w:val="22"/>
          <w:lang w:val="en-US"/>
        </w:rPr>
        <w:t xml:space="preserve"> </w:t>
      </w:r>
      <w:r w:rsidRPr="006E681A">
        <w:rPr>
          <w:rFonts w:ascii="Times New Roman" w:hAnsi="Times New Roman" w:cs="Times New Roman"/>
          <w:b/>
          <w:bCs/>
          <w:i/>
          <w:iCs/>
          <w:sz w:val="22"/>
          <w:szCs w:val="22"/>
          <w:lang w:val="en-US"/>
        </w:rPr>
        <w:t>ACBL DE VENEZUELA, C.A.</w:t>
      </w:r>
      <w:r w:rsidRPr="006E681A">
        <w:rPr>
          <w:rFonts w:ascii="Times New Roman" w:hAnsi="Times New Roman" w:cs="Times New Roman"/>
          <w:i/>
          <w:iCs/>
          <w:sz w:val="22"/>
          <w:szCs w:val="22"/>
          <w:lang w:val="en-US"/>
        </w:rPr>
        <w:t xml:space="preserve">, contra del </w:t>
      </w:r>
      <w:r w:rsidRPr="006E681A">
        <w:rPr>
          <w:rFonts w:ascii="Times New Roman" w:hAnsi="Times New Roman" w:cs="Times New Roman"/>
          <w:sz w:val="22"/>
          <w:szCs w:val="22"/>
          <w:lang w:val="en-US"/>
        </w:rPr>
        <w:t>(sic)</w:t>
      </w:r>
      <w:r w:rsidRPr="006E681A">
        <w:rPr>
          <w:rFonts w:ascii="Times New Roman" w:hAnsi="Times New Roman" w:cs="Times New Roman"/>
          <w:i/>
          <w:iCs/>
          <w:sz w:val="22"/>
          <w:szCs w:val="22"/>
          <w:lang w:val="en-US"/>
        </w:rPr>
        <w:t xml:space="preserve"> Resolución N° 0129 emanada en fecha 6 de abril de 2009 de la Gerencia de Fiscalización del </w:t>
      </w:r>
      <w:r w:rsidRPr="006E681A">
        <w:rPr>
          <w:rFonts w:ascii="Times New Roman" w:hAnsi="Times New Roman" w:cs="Times New Roman"/>
          <w:sz w:val="22"/>
          <w:szCs w:val="22"/>
          <w:lang w:val="en-US"/>
        </w:rPr>
        <w:t>(…)</w:t>
      </w:r>
      <w:r w:rsidRPr="006E681A">
        <w:rPr>
          <w:rFonts w:ascii="Times New Roman" w:hAnsi="Times New Roman" w:cs="Times New Roman"/>
          <w:i/>
          <w:iCs/>
          <w:sz w:val="22"/>
          <w:szCs w:val="22"/>
          <w:lang w:val="en-US"/>
        </w:rPr>
        <w:t xml:space="preserve"> (BANAVIH), </w:t>
      </w:r>
      <w:r w:rsidRPr="006E681A">
        <w:rPr>
          <w:rFonts w:ascii="Times New Roman" w:hAnsi="Times New Roman" w:cs="Times New Roman"/>
          <w:sz w:val="22"/>
          <w:szCs w:val="22"/>
          <w:lang w:val="en-US"/>
        </w:rPr>
        <w:t>(…)</w:t>
      </w:r>
      <w:r w:rsidRPr="006E681A">
        <w:rPr>
          <w:rFonts w:ascii="Times New Roman" w:hAnsi="Times New Roman" w:cs="Times New Roman"/>
          <w:i/>
          <w:iCs/>
          <w:sz w:val="22"/>
          <w:szCs w:val="22"/>
          <w:lang w:val="en-US"/>
        </w:rPr>
        <w:t xml:space="preserve">”. </w:t>
      </w:r>
      <w:r w:rsidRPr="006E681A">
        <w:rPr>
          <w:rFonts w:ascii="Times New Roman" w:hAnsi="Times New Roman" w:cs="Times New Roman"/>
          <w:sz w:val="22"/>
          <w:szCs w:val="22"/>
          <w:lang w:val="en-US"/>
        </w:rPr>
        <w:t>(Sic).</w:t>
      </w:r>
      <w:r w:rsidRPr="006E681A">
        <w:rPr>
          <w:rFonts w:ascii="Times New Roman" w:hAnsi="Times New Roman" w:cs="Times New Roman"/>
          <w:i/>
          <w:iCs/>
          <w:sz w:val="22"/>
          <w:szCs w:val="22"/>
          <w:lang w:val="en-US"/>
        </w:rPr>
        <w:t xml:space="preserve"> </w:t>
      </w:r>
      <w:r w:rsidRPr="006E681A">
        <w:rPr>
          <w:rFonts w:ascii="Times New Roman" w:hAnsi="Times New Roman" w:cs="Times New Roman"/>
          <w:sz w:val="22"/>
          <w:szCs w:val="22"/>
          <w:lang w:val="en-US"/>
        </w:rPr>
        <w:t>(Destacados del fallo).</w:t>
      </w:r>
    </w:p>
    <w:p w:rsidR="00603A26" w:rsidRPr="006E681A" w:rsidRDefault="00603A26" w:rsidP="00603A26">
      <w:pPr>
        <w:widowControl w:val="0"/>
        <w:autoSpaceDE w:val="0"/>
        <w:autoSpaceDN w:val="0"/>
        <w:adjustRightInd w:val="0"/>
        <w:spacing w:after="260"/>
        <w:ind w:right="260"/>
        <w:jc w:val="center"/>
        <w:rPr>
          <w:rFonts w:ascii="Times New Roman" w:hAnsi="Times New Roman" w:cs="Times New Roman"/>
          <w:sz w:val="22"/>
          <w:szCs w:val="22"/>
          <w:lang w:val="en-US"/>
        </w:rPr>
      </w:pPr>
      <w:r w:rsidRPr="006E681A">
        <w:rPr>
          <w:rFonts w:ascii="Times New Roman" w:hAnsi="Times New Roman" w:cs="Times New Roman"/>
          <w:b/>
          <w:bCs/>
          <w:sz w:val="22"/>
          <w:szCs w:val="22"/>
          <w:lang w:val="en-US"/>
        </w:rPr>
        <w:t>III</w:t>
      </w:r>
    </w:p>
    <w:p w:rsidR="00603A26" w:rsidRPr="006E681A" w:rsidRDefault="00603A26" w:rsidP="00603A26">
      <w:pPr>
        <w:widowControl w:val="0"/>
        <w:autoSpaceDE w:val="0"/>
        <w:autoSpaceDN w:val="0"/>
        <w:adjustRightInd w:val="0"/>
        <w:spacing w:after="260"/>
        <w:ind w:right="260"/>
        <w:jc w:val="center"/>
        <w:rPr>
          <w:rFonts w:ascii="Times New Roman" w:hAnsi="Times New Roman" w:cs="Times New Roman"/>
          <w:sz w:val="22"/>
          <w:szCs w:val="22"/>
          <w:lang w:val="en-US"/>
        </w:rPr>
      </w:pPr>
      <w:r w:rsidRPr="006E681A">
        <w:rPr>
          <w:rFonts w:ascii="Times New Roman" w:hAnsi="Times New Roman" w:cs="Times New Roman"/>
          <w:b/>
          <w:bCs/>
          <w:sz w:val="22"/>
          <w:szCs w:val="22"/>
          <w:lang w:val="en-US"/>
        </w:rPr>
        <w:t>FUNDAMENTOS DE LA APELACIÓN</w:t>
      </w:r>
    </w:p>
    <w:p w:rsidR="00603A26" w:rsidRPr="006E681A" w:rsidRDefault="00603A26" w:rsidP="00603A26">
      <w:pPr>
        <w:widowControl w:val="0"/>
        <w:autoSpaceDE w:val="0"/>
        <w:autoSpaceDN w:val="0"/>
        <w:adjustRightInd w:val="0"/>
        <w:spacing w:after="2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En fecha 27 de julio de 2011 la abogada Mirna Yasmín Olivier B., antes identificada, actuando con el carácter de apoderada judicial del Banco Nacional de Vivienda y Hábitat (BANAVIH), consignó ante esta Sala el escrito de fundamentación de la apelación contra la sentencia definitiva Nro. 022/2011 dictada por el Tribunal remitente el 16 de marzo de 2011. En su escrito argumenta lo siguiente:</w:t>
      </w:r>
    </w:p>
    <w:p w:rsidR="00603A26" w:rsidRPr="006E681A" w:rsidRDefault="00603A26" w:rsidP="00603A26">
      <w:pPr>
        <w:widowControl w:val="0"/>
        <w:autoSpaceDE w:val="0"/>
        <w:autoSpaceDN w:val="0"/>
        <w:adjustRightInd w:val="0"/>
        <w:spacing w:after="260"/>
        <w:ind w:right="260" w:firstLine="940"/>
        <w:jc w:val="both"/>
        <w:rPr>
          <w:rFonts w:ascii="Times New Roman" w:hAnsi="Times New Roman" w:cs="Times New Roman"/>
          <w:sz w:val="22"/>
          <w:szCs w:val="22"/>
          <w:lang w:val="en-US"/>
        </w:rPr>
      </w:pPr>
      <w:r w:rsidRPr="006E681A">
        <w:rPr>
          <w:rFonts w:ascii="Times New Roman" w:hAnsi="Times New Roman" w:cs="Times New Roman"/>
          <w:b/>
          <w:bCs/>
          <w:sz w:val="22"/>
          <w:szCs w:val="22"/>
          <w:lang w:val="en-US"/>
        </w:rPr>
        <w:t>1. Naturaleza no tributaria de los aportes que deben efectuarse al Fondo de Ahorro Obligatorio para la Vivienda (FAOV):</w:t>
      </w:r>
    </w:p>
    <w:p w:rsidR="00603A26" w:rsidRPr="006E681A" w:rsidRDefault="00603A26" w:rsidP="00603A26">
      <w:pPr>
        <w:widowControl w:val="0"/>
        <w:autoSpaceDE w:val="0"/>
        <w:autoSpaceDN w:val="0"/>
        <w:adjustRightInd w:val="0"/>
        <w:spacing w:after="2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Manifiesta que los señalados aportes no constituyen una contribución especial de carácter tributario, sino que son un ahorro obligatorio propiedad de las trabajadoras y los trabajadores, de los cuales pueden disponer, ceder e incluso transferirlos por herencia.</w:t>
      </w:r>
    </w:p>
    <w:p w:rsidR="00603A26" w:rsidRPr="006E681A" w:rsidRDefault="00603A26" w:rsidP="00603A26">
      <w:pPr>
        <w:widowControl w:val="0"/>
        <w:autoSpaceDE w:val="0"/>
        <w:autoSpaceDN w:val="0"/>
        <w:adjustRightInd w:val="0"/>
        <w:spacing w:after="260"/>
        <w:ind w:right="260" w:firstLine="940"/>
        <w:jc w:val="both"/>
        <w:rPr>
          <w:rFonts w:ascii="Times New Roman" w:hAnsi="Times New Roman" w:cs="Times New Roman"/>
          <w:sz w:val="22"/>
          <w:szCs w:val="22"/>
          <w:lang w:val="en-US"/>
        </w:rPr>
      </w:pPr>
      <w:r w:rsidRPr="006E681A">
        <w:rPr>
          <w:rFonts w:ascii="Times New Roman" w:hAnsi="Times New Roman" w:cs="Times New Roman"/>
          <w:b/>
          <w:bCs/>
          <w:sz w:val="22"/>
          <w:szCs w:val="22"/>
          <w:lang w:val="en-US"/>
        </w:rPr>
        <w:t>2. Prescripción:</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Señala que la prescripción no puede ser aplicada para impedir la revisión de los aportes correspondientes al año 2003, pues se imposibilita verificar el cumplimiento de la Ley del Régimen Prestacional de Vivienda y Hábitat </w:t>
      </w:r>
      <w:r w:rsidRPr="006E681A">
        <w:rPr>
          <w:rFonts w:ascii="Times New Roman" w:hAnsi="Times New Roman" w:cs="Times New Roman"/>
          <w:i/>
          <w:iCs/>
          <w:sz w:val="22"/>
          <w:szCs w:val="22"/>
          <w:lang w:val="en-US"/>
        </w:rPr>
        <w:t>“a un período anterior a cuatro (4) años de la citada revisión”</w:t>
      </w:r>
      <w:r w:rsidRPr="006E681A">
        <w:rPr>
          <w:rFonts w:ascii="Times New Roman" w:hAnsi="Times New Roman" w:cs="Times New Roman"/>
          <w:sz w:val="22"/>
          <w:szCs w:val="22"/>
          <w:lang w:val="en-US"/>
        </w:rPr>
        <w:t>.</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b/>
          <w:bCs/>
          <w:sz w:val="22"/>
          <w:szCs w:val="22"/>
          <w:lang w:val="en-US"/>
        </w:rPr>
        <w:t>3. Presunta violación del principio de exhaustividad de la sentencia:</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Expresa que el Tribunal Superior Cuarto de lo Contencioso Tributario de la Circunscripción Judicial del Área Metropolitana de Caracas, no verificó en forma alguna el cumplimiento de la Ley del Régimen Prestacional de Vivienda y Hábitat, e indicó erróneamente la naturaleza del ahorro habitacional y su base de cálculo, además de haber guardado completo silencio acerca del aporte enterado por la recurrente, conforme a cualesquiera de los criterios asumidos.</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b/>
          <w:bCs/>
          <w:sz w:val="22"/>
          <w:szCs w:val="22"/>
          <w:lang w:val="en-US"/>
        </w:rPr>
        <w:t xml:space="preserve">4. Falso supuesto al declarar la violación </w:t>
      </w:r>
      <w:proofErr w:type="gramStart"/>
      <w:r w:rsidRPr="006E681A">
        <w:rPr>
          <w:rFonts w:ascii="Times New Roman" w:hAnsi="Times New Roman" w:cs="Times New Roman"/>
          <w:b/>
          <w:bCs/>
          <w:sz w:val="22"/>
          <w:szCs w:val="22"/>
          <w:lang w:val="en-US"/>
        </w:rPr>
        <w:t>del</w:t>
      </w:r>
      <w:proofErr w:type="gramEnd"/>
      <w:r w:rsidRPr="006E681A">
        <w:rPr>
          <w:rFonts w:ascii="Times New Roman" w:hAnsi="Times New Roman" w:cs="Times New Roman"/>
          <w:b/>
          <w:bCs/>
          <w:sz w:val="22"/>
          <w:szCs w:val="22"/>
          <w:lang w:val="en-US"/>
        </w:rPr>
        <w:t xml:space="preserve"> derecho a la defensa y al debido proceso:</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Indica que el mencionado Tribunal</w:t>
      </w:r>
      <w:r w:rsidRPr="006E681A">
        <w:rPr>
          <w:rFonts w:ascii="Times New Roman" w:hAnsi="Times New Roman" w:cs="Times New Roman"/>
          <w:i/>
          <w:iCs/>
          <w:sz w:val="22"/>
          <w:szCs w:val="22"/>
          <w:lang w:val="en-US"/>
        </w:rPr>
        <w:t xml:space="preserve"> </w:t>
      </w:r>
      <w:r w:rsidRPr="006E681A">
        <w:rPr>
          <w:rFonts w:ascii="Times New Roman" w:hAnsi="Times New Roman" w:cs="Times New Roman"/>
          <w:sz w:val="22"/>
          <w:szCs w:val="22"/>
          <w:lang w:val="en-US"/>
        </w:rPr>
        <w:t xml:space="preserve">declaró la nulidad de la </w:t>
      </w:r>
      <w:r w:rsidRPr="006E681A">
        <w:rPr>
          <w:rFonts w:ascii="Times New Roman" w:hAnsi="Times New Roman" w:cs="Times New Roman"/>
          <w:i/>
          <w:iCs/>
          <w:sz w:val="22"/>
          <w:szCs w:val="22"/>
          <w:lang w:val="en-US"/>
        </w:rPr>
        <w:t xml:space="preserve">Resolución </w:t>
      </w:r>
      <w:r w:rsidRPr="006E681A">
        <w:rPr>
          <w:rFonts w:ascii="Times New Roman" w:hAnsi="Times New Roman" w:cs="Times New Roman"/>
          <w:sz w:val="22"/>
          <w:szCs w:val="22"/>
          <w:lang w:val="en-US"/>
        </w:rPr>
        <w:t>Nro.</w:t>
      </w:r>
      <w:r w:rsidRPr="006E681A">
        <w:rPr>
          <w:rFonts w:ascii="Times New Roman" w:hAnsi="Times New Roman" w:cs="Times New Roman"/>
          <w:i/>
          <w:iCs/>
          <w:sz w:val="22"/>
          <w:szCs w:val="22"/>
          <w:lang w:val="en-US"/>
        </w:rPr>
        <w:t xml:space="preserve"> 129</w:t>
      </w:r>
      <w:r w:rsidRPr="006E681A">
        <w:rPr>
          <w:rFonts w:ascii="Times New Roman" w:hAnsi="Times New Roman" w:cs="Times New Roman"/>
          <w:sz w:val="22"/>
          <w:szCs w:val="22"/>
          <w:lang w:val="en-US"/>
        </w:rPr>
        <w:t xml:space="preserve"> de fecha 6 de abril de 2009 dictada por la Gerencia de Fiscalización del Banco Nacional de Vivienda y Hábitat (BANAVIH), por prescindencia total y absoluta del procedimiento legalmente establecido en el Código Orgánico Tributario de 2001. Sin embargo, </w:t>
      </w:r>
      <w:r w:rsidRPr="006E681A">
        <w:rPr>
          <w:rFonts w:ascii="Times New Roman" w:hAnsi="Times New Roman" w:cs="Times New Roman"/>
          <w:i/>
          <w:iCs/>
          <w:sz w:val="22"/>
          <w:szCs w:val="22"/>
          <w:lang w:val="en-US"/>
        </w:rPr>
        <w:t xml:space="preserve">“la recurrente </w:t>
      </w:r>
      <w:r w:rsidRPr="006E681A">
        <w:rPr>
          <w:rFonts w:ascii="Times New Roman" w:hAnsi="Times New Roman" w:cs="Times New Roman"/>
          <w:i/>
          <w:iCs/>
          <w:sz w:val="22"/>
          <w:szCs w:val="22"/>
          <w:lang w:val="en-US"/>
        </w:rPr>
        <w:lastRenderedPageBreak/>
        <w:t xml:space="preserve">decidió no agotar la vía administrativa, por el contrario interpuso recurso contencioso tributario </w:t>
      </w:r>
      <w:r w:rsidRPr="006E681A">
        <w:rPr>
          <w:rFonts w:ascii="Times New Roman" w:hAnsi="Times New Roman" w:cs="Times New Roman"/>
          <w:sz w:val="22"/>
          <w:szCs w:val="22"/>
          <w:lang w:val="en-US"/>
        </w:rPr>
        <w:t>(…)</w:t>
      </w:r>
      <w:r w:rsidRPr="006E681A">
        <w:rPr>
          <w:rFonts w:ascii="Times New Roman" w:hAnsi="Times New Roman" w:cs="Times New Roman"/>
          <w:i/>
          <w:iCs/>
          <w:sz w:val="22"/>
          <w:szCs w:val="22"/>
          <w:lang w:val="en-US"/>
        </w:rPr>
        <w:t xml:space="preserve"> enalteciendo </w:t>
      </w:r>
      <w:r w:rsidRPr="006E681A">
        <w:rPr>
          <w:rFonts w:ascii="Times New Roman" w:hAnsi="Times New Roman" w:cs="Times New Roman"/>
          <w:sz w:val="22"/>
          <w:szCs w:val="22"/>
          <w:lang w:val="en-US"/>
        </w:rPr>
        <w:t>(sic)</w:t>
      </w:r>
      <w:r w:rsidRPr="006E681A">
        <w:rPr>
          <w:rFonts w:ascii="Times New Roman" w:hAnsi="Times New Roman" w:cs="Times New Roman"/>
          <w:i/>
          <w:iCs/>
          <w:sz w:val="22"/>
          <w:szCs w:val="22"/>
          <w:lang w:val="en-US"/>
        </w:rPr>
        <w:t xml:space="preserve"> el derecho a la defensa y al debido proceso </w:t>
      </w:r>
      <w:r w:rsidRPr="006E681A">
        <w:rPr>
          <w:rFonts w:ascii="Times New Roman" w:hAnsi="Times New Roman" w:cs="Times New Roman"/>
          <w:sz w:val="22"/>
          <w:szCs w:val="22"/>
          <w:lang w:val="en-US"/>
        </w:rPr>
        <w:t>(…)</w:t>
      </w:r>
      <w:r w:rsidRPr="006E681A">
        <w:rPr>
          <w:rFonts w:ascii="Times New Roman" w:hAnsi="Times New Roman" w:cs="Times New Roman"/>
          <w:i/>
          <w:iCs/>
          <w:sz w:val="22"/>
          <w:szCs w:val="22"/>
          <w:lang w:val="en-US"/>
        </w:rPr>
        <w:t>”.</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b/>
          <w:bCs/>
          <w:sz w:val="22"/>
          <w:szCs w:val="22"/>
          <w:lang w:val="en-US"/>
        </w:rPr>
        <w:t>5. Error por determinar que la base imponible es el salario normal:</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Sostiene que la sentencia apelada incurrió en error, toda vez que debió tomar el ingreso total mensual asimilado a salario normal e incluir los conceptos de bono vacacional, utilidades y cualquier otra bonificación que cumpla con la característica de ser salarial, regular y permanente.</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Con fundamento en los razonamientos de hecho y de derecho expresados y en atención a </w:t>
      </w:r>
      <w:r w:rsidRPr="006E681A">
        <w:rPr>
          <w:rFonts w:ascii="Times New Roman" w:hAnsi="Times New Roman" w:cs="Times New Roman"/>
          <w:i/>
          <w:iCs/>
          <w:sz w:val="22"/>
          <w:szCs w:val="22"/>
          <w:lang w:val="en-US"/>
        </w:rPr>
        <w:t>“las evidentes irregularidades y vicios contenidos en la sentencia recurrida”</w:t>
      </w:r>
      <w:r w:rsidRPr="006E681A">
        <w:rPr>
          <w:rFonts w:ascii="Times New Roman" w:hAnsi="Times New Roman" w:cs="Times New Roman"/>
          <w:sz w:val="22"/>
          <w:szCs w:val="22"/>
          <w:lang w:val="en-US"/>
        </w:rPr>
        <w:t>, solicita a la Sala declarar con lugar el recurso de apelación ejercido.</w:t>
      </w:r>
    </w:p>
    <w:p w:rsidR="00603A26" w:rsidRPr="006E681A" w:rsidRDefault="00603A26" w:rsidP="00603A26">
      <w:pPr>
        <w:widowControl w:val="0"/>
        <w:autoSpaceDE w:val="0"/>
        <w:autoSpaceDN w:val="0"/>
        <w:adjustRightInd w:val="0"/>
        <w:spacing w:after="160"/>
        <w:ind w:right="260"/>
        <w:jc w:val="center"/>
        <w:rPr>
          <w:rFonts w:ascii="Times New Roman" w:hAnsi="Times New Roman" w:cs="Times New Roman"/>
          <w:sz w:val="22"/>
          <w:szCs w:val="22"/>
          <w:lang w:val="en-US"/>
        </w:rPr>
      </w:pPr>
      <w:r w:rsidRPr="006E681A">
        <w:rPr>
          <w:rFonts w:ascii="Times New Roman" w:hAnsi="Times New Roman" w:cs="Times New Roman"/>
          <w:b/>
          <w:bCs/>
          <w:sz w:val="22"/>
          <w:szCs w:val="22"/>
          <w:lang w:val="en-US"/>
        </w:rPr>
        <w:t>IV</w:t>
      </w:r>
    </w:p>
    <w:p w:rsidR="00603A26" w:rsidRPr="006E681A" w:rsidRDefault="00603A26" w:rsidP="00603A26">
      <w:pPr>
        <w:widowControl w:val="0"/>
        <w:autoSpaceDE w:val="0"/>
        <w:autoSpaceDN w:val="0"/>
        <w:adjustRightInd w:val="0"/>
        <w:spacing w:after="160"/>
        <w:ind w:right="260"/>
        <w:jc w:val="center"/>
        <w:rPr>
          <w:rFonts w:ascii="Times New Roman" w:hAnsi="Times New Roman" w:cs="Times New Roman"/>
          <w:sz w:val="22"/>
          <w:szCs w:val="22"/>
          <w:lang w:val="en-US"/>
        </w:rPr>
      </w:pPr>
      <w:r w:rsidRPr="006E681A">
        <w:rPr>
          <w:rFonts w:ascii="Times New Roman" w:hAnsi="Times New Roman" w:cs="Times New Roman"/>
          <w:b/>
          <w:bCs/>
          <w:sz w:val="22"/>
          <w:szCs w:val="22"/>
          <w:lang w:val="en-US"/>
        </w:rPr>
        <w:t>CONTESTACIÓN DE LA APELACIÓN</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El 9 de agosto de 2011 el abogado Juan Carlos Balzán Pérez, antes identificado, actuando con el carácter de apoderado judicial de la empresa ACBL de Venezuela, C.A., consignó su escrito de contestación a la apelación ejercida por la representación judicial del Banco Nacional de Vivienda y Hábitat (BANAVIH), en el cual expresa lo siguiente:</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b/>
          <w:bCs/>
          <w:sz w:val="22"/>
          <w:szCs w:val="22"/>
          <w:lang w:val="en-US"/>
        </w:rPr>
        <w:t>1. Naturaleza tributaria de los aportes que deben efectuarse al Fondo de Ahorro Obligatorio para la Vivienda (FAOV):</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Ratifica los razonamientos expuestos en el </w:t>
      </w:r>
      <w:r w:rsidRPr="006E681A">
        <w:rPr>
          <w:rFonts w:ascii="Times New Roman" w:hAnsi="Times New Roman" w:cs="Times New Roman"/>
          <w:i/>
          <w:iCs/>
          <w:sz w:val="22"/>
          <w:szCs w:val="22"/>
          <w:lang w:val="en-US"/>
        </w:rPr>
        <w:t>“recurso contencioso tributario”</w:t>
      </w:r>
      <w:r w:rsidRPr="006E681A">
        <w:rPr>
          <w:rFonts w:ascii="Times New Roman" w:hAnsi="Times New Roman" w:cs="Times New Roman"/>
          <w:sz w:val="22"/>
          <w:szCs w:val="22"/>
          <w:lang w:val="en-US"/>
        </w:rPr>
        <w:t xml:space="preserve"> y, contrario </w:t>
      </w:r>
      <w:proofErr w:type="gramStart"/>
      <w:r w:rsidRPr="006E681A">
        <w:rPr>
          <w:rFonts w:ascii="Times New Roman" w:hAnsi="Times New Roman" w:cs="Times New Roman"/>
          <w:sz w:val="22"/>
          <w:szCs w:val="22"/>
          <w:lang w:val="en-US"/>
        </w:rPr>
        <w:t>a lo</w:t>
      </w:r>
      <w:proofErr w:type="gramEnd"/>
      <w:r w:rsidRPr="006E681A">
        <w:rPr>
          <w:rFonts w:ascii="Times New Roman" w:hAnsi="Times New Roman" w:cs="Times New Roman"/>
          <w:sz w:val="22"/>
          <w:szCs w:val="22"/>
          <w:lang w:val="en-US"/>
        </w:rPr>
        <w:t xml:space="preserve"> afirmado por la parte apelante, expresa que los aportes al aludido Fondo encuadran por su tipificación en la clasificación legal de los tributos, y constituyen contribuciones parafiscales por lo que tienen carácter tributario.</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b/>
          <w:bCs/>
          <w:sz w:val="22"/>
          <w:szCs w:val="22"/>
          <w:lang w:val="en-US"/>
        </w:rPr>
        <w:t>2. Prescripción:</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Arguye que los aportes al Fondo de Ahorro Obligatorio para la Vivienda (FAOV) están sujetos </w:t>
      </w:r>
      <w:proofErr w:type="gramStart"/>
      <w:r w:rsidRPr="006E681A">
        <w:rPr>
          <w:rFonts w:ascii="Times New Roman" w:hAnsi="Times New Roman" w:cs="Times New Roman"/>
          <w:sz w:val="22"/>
          <w:szCs w:val="22"/>
          <w:lang w:val="en-US"/>
        </w:rPr>
        <w:t>a lo</w:t>
      </w:r>
      <w:proofErr w:type="gramEnd"/>
      <w:r w:rsidRPr="006E681A">
        <w:rPr>
          <w:rFonts w:ascii="Times New Roman" w:hAnsi="Times New Roman" w:cs="Times New Roman"/>
          <w:sz w:val="22"/>
          <w:szCs w:val="22"/>
          <w:lang w:val="en-US"/>
        </w:rPr>
        <w:t xml:space="preserve"> establecido en la normativa tributaria y, por tanto, al régimen de prescripción previsto en el Código Orgánico Tributario de 2001.</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b/>
          <w:bCs/>
          <w:sz w:val="22"/>
          <w:szCs w:val="22"/>
          <w:lang w:val="en-US"/>
        </w:rPr>
        <w:t xml:space="preserve">3. Presunta violación </w:t>
      </w:r>
      <w:proofErr w:type="gramStart"/>
      <w:r w:rsidRPr="006E681A">
        <w:rPr>
          <w:rFonts w:ascii="Times New Roman" w:hAnsi="Times New Roman" w:cs="Times New Roman"/>
          <w:b/>
          <w:bCs/>
          <w:sz w:val="22"/>
          <w:szCs w:val="22"/>
          <w:lang w:val="en-US"/>
        </w:rPr>
        <w:t>del</w:t>
      </w:r>
      <w:proofErr w:type="gramEnd"/>
      <w:r w:rsidRPr="006E681A">
        <w:rPr>
          <w:rFonts w:ascii="Times New Roman" w:hAnsi="Times New Roman" w:cs="Times New Roman"/>
          <w:b/>
          <w:bCs/>
          <w:sz w:val="22"/>
          <w:szCs w:val="22"/>
          <w:lang w:val="en-US"/>
        </w:rPr>
        <w:t xml:space="preserve"> principio de exhaustividad de la sentencia:</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Explica que el Tribunal Superior Cuarto de lo Contencioso Tributario de la Circunscripción Judicial del Área Metropolitana de Caracas, en sus consideraciones para decidir analizó lo relativo a la retención y enteramiento de los aportes al Fondo de Ahorro Obligatorio para la Vivienda (FAOV) por parte de la recurrente y, por tanto, la sentencia apelada se ajusta a lo dispuesto en el numeral 5 del artículo 243 del Código de Procedimiento Civil.</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b/>
          <w:bCs/>
          <w:sz w:val="22"/>
          <w:szCs w:val="22"/>
          <w:lang w:val="en-US"/>
        </w:rPr>
        <w:t xml:space="preserve">4. Falso supuesto por declarar la violación </w:t>
      </w:r>
      <w:proofErr w:type="gramStart"/>
      <w:r w:rsidRPr="006E681A">
        <w:rPr>
          <w:rFonts w:ascii="Times New Roman" w:hAnsi="Times New Roman" w:cs="Times New Roman"/>
          <w:b/>
          <w:bCs/>
          <w:sz w:val="22"/>
          <w:szCs w:val="22"/>
          <w:lang w:val="en-US"/>
        </w:rPr>
        <w:t>del</w:t>
      </w:r>
      <w:proofErr w:type="gramEnd"/>
      <w:r w:rsidRPr="006E681A">
        <w:rPr>
          <w:rFonts w:ascii="Times New Roman" w:hAnsi="Times New Roman" w:cs="Times New Roman"/>
          <w:b/>
          <w:bCs/>
          <w:sz w:val="22"/>
          <w:szCs w:val="22"/>
          <w:lang w:val="en-US"/>
        </w:rPr>
        <w:t xml:space="preserve"> derecho a la defensa y al debido proceso:</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Manifiesta que el procedimiento seguido en la fiscalización no se sujetó a ley tributaria alguna y, por ende, la </w:t>
      </w:r>
      <w:r w:rsidRPr="006E681A">
        <w:rPr>
          <w:rFonts w:ascii="Times New Roman" w:hAnsi="Times New Roman" w:cs="Times New Roman"/>
          <w:i/>
          <w:iCs/>
          <w:sz w:val="22"/>
          <w:szCs w:val="22"/>
          <w:lang w:val="en-US"/>
        </w:rPr>
        <w:t>Resolución</w:t>
      </w:r>
      <w:r w:rsidRPr="006E681A">
        <w:rPr>
          <w:rFonts w:ascii="Times New Roman" w:hAnsi="Times New Roman" w:cs="Times New Roman"/>
          <w:sz w:val="22"/>
          <w:szCs w:val="22"/>
          <w:lang w:val="en-US"/>
        </w:rPr>
        <w:t xml:space="preserve"> impugnada no estuvo precedida </w:t>
      </w:r>
      <w:proofErr w:type="gramStart"/>
      <w:r w:rsidRPr="006E681A">
        <w:rPr>
          <w:rFonts w:ascii="Times New Roman" w:hAnsi="Times New Roman" w:cs="Times New Roman"/>
          <w:sz w:val="22"/>
          <w:szCs w:val="22"/>
          <w:lang w:val="en-US"/>
        </w:rPr>
        <w:t>del</w:t>
      </w:r>
      <w:proofErr w:type="gramEnd"/>
      <w:r w:rsidRPr="006E681A">
        <w:rPr>
          <w:rFonts w:ascii="Times New Roman" w:hAnsi="Times New Roman" w:cs="Times New Roman"/>
          <w:sz w:val="22"/>
          <w:szCs w:val="22"/>
          <w:lang w:val="en-US"/>
        </w:rPr>
        <w:t xml:space="preserve"> procedimiento de fiscalización y determinación previsto en los artículos 177 y siguientes del Código Orgánico Tributario de 2001 para la formulación del “</w:t>
      </w:r>
      <w:r w:rsidRPr="006E681A">
        <w:rPr>
          <w:rFonts w:ascii="Times New Roman" w:hAnsi="Times New Roman" w:cs="Times New Roman"/>
          <w:i/>
          <w:iCs/>
          <w:sz w:val="22"/>
          <w:szCs w:val="22"/>
          <w:lang w:val="en-US"/>
        </w:rPr>
        <w:t>reparo fiscal</w:t>
      </w:r>
      <w:r w:rsidRPr="006E681A">
        <w:rPr>
          <w:rFonts w:ascii="Times New Roman" w:hAnsi="Times New Roman" w:cs="Times New Roman"/>
          <w:sz w:val="22"/>
          <w:szCs w:val="22"/>
          <w:lang w:val="en-US"/>
        </w:rPr>
        <w:t>”.</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b/>
          <w:bCs/>
          <w:sz w:val="22"/>
          <w:szCs w:val="22"/>
          <w:lang w:val="en-US"/>
        </w:rPr>
        <w:t>5. Error al determinar que la base imponible es el salario normal:</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Refiere que la Sentenciadora interpretó correctamente la normativa aplicable al caso bajo examen, por considerar que la base de cálculo de los aportes al Fondo de Ahorro Obligatorio </w:t>
      </w:r>
      <w:r w:rsidRPr="006E681A">
        <w:rPr>
          <w:rFonts w:ascii="Times New Roman" w:hAnsi="Times New Roman" w:cs="Times New Roman"/>
          <w:sz w:val="22"/>
          <w:szCs w:val="22"/>
          <w:lang w:val="en-US"/>
        </w:rPr>
        <w:lastRenderedPageBreak/>
        <w:t xml:space="preserve">para la Vivienda (FAOV) es el salario normal </w:t>
      </w:r>
      <w:proofErr w:type="gramStart"/>
      <w:r w:rsidRPr="006E681A">
        <w:rPr>
          <w:rFonts w:ascii="Times New Roman" w:hAnsi="Times New Roman" w:cs="Times New Roman"/>
          <w:sz w:val="22"/>
          <w:szCs w:val="22"/>
          <w:lang w:val="en-US"/>
        </w:rPr>
        <w:t>del</w:t>
      </w:r>
      <w:proofErr w:type="gramEnd"/>
      <w:r w:rsidRPr="006E681A">
        <w:rPr>
          <w:rFonts w:ascii="Times New Roman" w:hAnsi="Times New Roman" w:cs="Times New Roman"/>
          <w:sz w:val="22"/>
          <w:szCs w:val="22"/>
          <w:lang w:val="en-US"/>
        </w:rPr>
        <w:t xml:space="preserve"> trabajador.</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Finalmente, solicita que la sentencia Nro. 022/2011 de fecha 16 de marzo de 2011, que declaró con lugar el </w:t>
      </w:r>
      <w:r w:rsidRPr="006E681A">
        <w:rPr>
          <w:rFonts w:ascii="Times New Roman" w:hAnsi="Times New Roman" w:cs="Times New Roman"/>
          <w:i/>
          <w:iCs/>
          <w:sz w:val="22"/>
          <w:szCs w:val="22"/>
          <w:lang w:val="en-US"/>
        </w:rPr>
        <w:t>“recurso contencioso tributario”</w:t>
      </w:r>
      <w:r w:rsidRPr="006E681A">
        <w:rPr>
          <w:rFonts w:ascii="Times New Roman" w:hAnsi="Times New Roman" w:cs="Times New Roman"/>
          <w:sz w:val="22"/>
          <w:szCs w:val="22"/>
          <w:lang w:val="en-US"/>
        </w:rPr>
        <w:t xml:space="preserve"> de autos sea confirmada y se declare sin lugar la apelación ejercida por el Banco Nacional de Vivienda y Hábitat (BANAVIH).</w:t>
      </w:r>
    </w:p>
    <w:p w:rsidR="00603A26" w:rsidRPr="006E681A" w:rsidRDefault="00603A26" w:rsidP="00603A26">
      <w:pPr>
        <w:widowControl w:val="0"/>
        <w:autoSpaceDE w:val="0"/>
        <w:autoSpaceDN w:val="0"/>
        <w:adjustRightInd w:val="0"/>
        <w:spacing w:after="160"/>
        <w:ind w:right="260"/>
        <w:jc w:val="center"/>
        <w:rPr>
          <w:rFonts w:ascii="Times New Roman" w:hAnsi="Times New Roman" w:cs="Times New Roman"/>
          <w:sz w:val="22"/>
          <w:szCs w:val="22"/>
          <w:lang w:val="en-US"/>
        </w:rPr>
      </w:pPr>
      <w:r w:rsidRPr="006E681A">
        <w:rPr>
          <w:rFonts w:ascii="Times New Roman" w:hAnsi="Times New Roman" w:cs="Times New Roman"/>
          <w:b/>
          <w:bCs/>
          <w:sz w:val="22"/>
          <w:szCs w:val="22"/>
          <w:lang w:val="en-US"/>
        </w:rPr>
        <w:t>   V</w:t>
      </w:r>
    </w:p>
    <w:p w:rsidR="00603A26" w:rsidRPr="006E681A" w:rsidRDefault="00603A26" w:rsidP="00603A26">
      <w:pPr>
        <w:widowControl w:val="0"/>
        <w:autoSpaceDE w:val="0"/>
        <w:autoSpaceDN w:val="0"/>
        <w:adjustRightInd w:val="0"/>
        <w:spacing w:after="160"/>
        <w:ind w:right="260" w:firstLine="940"/>
        <w:jc w:val="center"/>
        <w:rPr>
          <w:rFonts w:ascii="Times New Roman" w:hAnsi="Times New Roman" w:cs="Times New Roman"/>
          <w:sz w:val="22"/>
          <w:szCs w:val="22"/>
          <w:lang w:val="en-US"/>
        </w:rPr>
      </w:pPr>
      <w:r w:rsidRPr="006E681A">
        <w:rPr>
          <w:rFonts w:ascii="Times New Roman" w:hAnsi="Times New Roman" w:cs="Times New Roman"/>
          <w:b/>
          <w:bCs/>
          <w:sz w:val="22"/>
          <w:szCs w:val="22"/>
          <w:lang w:val="en-US"/>
        </w:rPr>
        <w:t>CONSIDERACIONES PARA DECIDIR</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En la oportunidad para decidir, correspondería a esta Sala Político-Administrativa conocer el recurso de apelación interpuesto por la apoderada judicial </w:t>
      </w:r>
      <w:proofErr w:type="gramStart"/>
      <w:r w:rsidRPr="006E681A">
        <w:rPr>
          <w:rFonts w:ascii="Times New Roman" w:hAnsi="Times New Roman" w:cs="Times New Roman"/>
          <w:sz w:val="22"/>
          <w:szCs w:val="22"/>
          <w:lang w:val="en-US"/>
        </w:rPr>
        <w:t>del</w:t>
      </w:r>
      <w:proofErr w:type="gramEnd"/>
      <w:r w:rsidRPr="006E681A">
        <w:rPr>
          <w:rFonts w:ascii="Times New Roman" w:hAnsi="Times New Roman" w:cs="Times New Roman"/>
          <w:sz w:val="22"/>
          <w:szCs w:val="22"/>
          <w:lang w:val="en-US"/>
        </w:rPr>
        <w:t xml:space="preserve"> Banco Nacional de Vivienda y Hábitat (BANAVIH), contra la sentencia definitiva Nro. 022/2011 dictada por el Tribunal Superior Cuarto de lo Contencioso Tributario de la Circunscripción Judicial del Área Metropolitana de Caracas el 16 de marzo de 2011, que declaró con lugar el </w:t>
      </w:r>
      <w:r w:rsidRPr="006E681A">
        <w:rPr>
          <w:rFonts w:ascii="Times New Roman" w:hAnsi="Times New Roman" w:cs="Times New Roman"/>
          <w:i/>
          <w:iCs/>
          <w:sz w:val="22"/>
          <w:szCs w:val="22"/>
          <w:lang w:val="en-US"/>
        </w:rPr>
        <w:t>“recurso contencioso tributario”</w:t>
      </w:r>
      <w:r w:rsidRPr="006E681A">
        <w:rPr>
          <w:rFonts w:ascii="Times New Roman" w:hAnsi="Times New Roman" w:cs="Times New Roman"/>
          <w:sz w:val="22"/>
          <w:szCs w:val="22"/>
          <w:lang w:val="en-US"/>
        </w:rPr>
        <w:t xml:space="preserve"> interpuesto conjuntamente con solicitud de medida cautelar de suspensión de efectos por la sociedad de comercio ACBL de Venezuela, C.A.</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Ahora bien, esta Máxima Instancia previamente considera necesario destacar que en </w:t>
      </w:r>
      <w:proofErr w:type="gramStart"/>
      <w:r w:rsidRPr="006E681A">
        <w:rPr>
          <w:rFonts w:ascii="Times New Roman" w:hAnsi="Times New Roman" w:cs="Times New Roman"/>
          <w:sz w:val="22"/>
          <w:szCs w:val="22"/>
          <w:lang w:val="en-US"/>
        </w:rPr>
        <w:t>un</w:t>
      </w:r>
      <w:proofErr w:type="gramEnd"/>
      <w:r w:rsidRPr="006E681A">
        <w:rPr>
          <w:rFonts w:ascii="Times New Roman" w:hAnsi="Times New Roman" w:cs="Times New Roman"/>
          <w:sz w:val="22"/>
          <w:szCs w:val="22"/>
          <w:lang w:val="en-US"/>
        </w:rPr>
        <w:t xml:space="preserve"> caso similar al hoy objeto de examen, proveniente del Tribunal Superior Noveno de lo Contencioso Tributario de la Circunscripción Judicial del Área Metropolitana de Caracas, la Sala Constitucional del Tribunal Supremo de Justicia en la sentencia Nro. 1.771 del 28 de noviembre de 2011, declaró </w:t>
      </w:r>
      <w:r w:rsidRPr="006E681A">
        <w:rPr>
          <w:rFonts w:ascii="Times New Roman" w:hAnsi="Times New Roman" w:cs="Times New Roman"/>
          <w:i/>
          <w:iCs/>
          <w:sz w:val="22"/>
          <w:szCs w:val="22"/>
          <w:lang w:val="en-US"/>
        </w:rPr>
        <w:t>“Ha Lugar”</w:t>
      </w:r>
      <w:r w:rsidRPr="006E681A">
        <w:rPr>
          <w:rFonts w:ascii="Times New Roman" w:hAnsi="Times New Roman" w:cs="Times New Roman"/>
          <w:sz w:val="22"/>
          <w:szCs w:val="22"/>
          <w:lang w:val="en-US"/>
        </w:rPr>
        <w:t xml:space="preserve"> la revisión constitucional solicitada por el Banco Nacional de Vivienda y Hábitat (BANAVIH) de la decisión Nro. 1.202 del 25 de noviembre de 2010 dictada por esta Sala Político-Administrativa como Tribunal de Alzada de los Tribunales que conforman la Jurisdicción Especial Tributaria, con fundamento en el numeral 10 del artículo 336 de la Constitución de la República Bolivariana de Venezuela.</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En la decisión revisada la última de las mencionadas Salas analizó </w:t>
      </w:r>
      <w:r w:rsidRPr="009C5A44">
        <w:rPr>
          <w:rFonts w:ascii="Times New Roman" w:hAnsi="Times New Roman" w:cs="Times New Roman"/>
          <w:sz w:val="22"/>
          <w:szCs w:val="22"/>
          <w:lang w:val="en-US"/>
        </w:rPr>
        <w:t>la naturaleza jurídica de los aportes que deben pagarse al Fondo de Ahorro Obligatorio para la Vivienda (FAOV)</w:t>
      </w:r>
      <w:r w:rsidRPr="006E681A">
        <w:rPr>
          <w:rFonts w:ascii="Times New Roman" w:hAnsi="Times New Roman" w:cs="Times New Roman"/>
          <w:sz w:val="22"/>
          <w:szCs w:val="22"/>
          <w:lang w:val="en-US"/>
        </w:rPr>
        <w:t xml:space="preserve"> y la aplicación de la prescripción como medio extintivo de la obligación de pago de los aportes al mencionado Fondo, desde el enfoque de las contribuciones parafiscales, reguladas en el Código Orgánico Tributario.</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Con base en una visión garante de derechos fundamentales referidos al buen vivir para las trabajadoras y los trabajadores, la Sala Constitucional fijó el criterio vinculante con fundamento legal en la Ley Orgánica del Sistema de Seguridad Social, que establece los recursos destinados a su financiamiento y la Ley del Régimen Prestacional de Vivienda y Hábitat que crea y regula el Fondo de Ahorro Obligatorio para la Vivienda (FAOV); y en atención a los principios de progresividad e irrenunciabilidad de los derechos de las trabajadoras y los trabajadores, así como al principio de la interpretación más favorable, según el cual los aportes al citado Fondo son parte del régimen prestacional de vivienda y hábitat y del sistema de seguridad social, la mencionada Sala consideró que los referidos aportes no responden al concepto de parafiscalidad y, por tanto, se encuentran al margen del sistema tributario.</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Por consiguiente, como consecuencia del establecimiento de su nuevo criterio vinculante, conforme al artículo 335 del Texto Fundamental, la Sala Constitucional ordenó extender los efectos de la sentencia de revisión a todas aquellas decisiones que sobre la misma materia hubiesen contrariado ese criterio.</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De allí que en atención al nuevo criterio respecto al cual -se insiste- ningún Tribunal de instancia ni esta Alzada antes se habían pronunciado, no existiendo, por tanto, necesidad de convocar la Sala Accidental por haber sido declaradas sin lugar las inhibiciones de las Magistradas y el Magistrado principales; esta Sala Político-Administrativa, con ocasión de </w:t>
      </w:r>
      <w:r w:rsidRPr="006E681A">
        <w:rPr>
          <w:rFonts w:ascii="Times New Roman" w:hAnsi="Times New Roman" w:cs="Times New Roman"/>
          <w:sz w:val="22"/>
          <w:szCs w:val="22"/>
          <w:lang w:val="en-US"/>
        </w:rPr>
        <w:lastRenderedPageBreak/>
        <w:t xml:space="preserve">emitir el nuevo pronunciamiento ordenado por la Sala Constitucional, en reciente sentencia Nro. 00739 del 21 de junio de 2012, caso: </w:t>
      </w:r>
      <w:r w:rsidRPr="006E681A">
        <w:rPr>
          <w:rFonts w:ascii="Times New Roman" w:hAnsi="Times New Roman" w:cs="Times New Roman"/>
          <w:i/>
          <w:iCs/>
          <w:sz w:val="22"/>
          <w:szCs w:val="22"/>
          <w:lang w:val="en-US"/>
        </w:rPr>
        <w:t>Banco del Caribe, C.A. Banco Universal Vs. Banco Nacional de Vivienda y Hábitat (BANAVIH)</w:t>
      </w:r>
      <w:r w:rsidRPr="006E681A">
        <w:rPr>
          <w:rFonts w:ascii="Times New Roman" w:hAnsi="Times New Roman" w:cs="Times New Roman"/>
          <w:sz w:val="22"/>
          <w:szCs w:val="22"/>
          <w:lang w:val="en-US"/>
        </w:rPr>
        <w:t>, además de acoger la doctrina judicial de dicha Sala del Máximo Tribunal, relativa a la naturaleza no tributaria de los referidos aportes y su imprescriptibilidad, declaró lo siguiente:</w:t>
      </w:r>
      <w:r w:rsidRPr="006E681A">
        <w:rPr>
          <w:rFonts w:ascii="Times New Roman" w:hAnsi="Times New Roman" w:cs="Times New Roman"/>
          <w:i/>
          <w:iCs/>
          <w:sz w:val="22"/>
          <w:szCs w:val="22"/>
          <w:lang w:val="en-US"/>
        </w:rPr>
        <w:t xml:space="preserve"> “la competencia para conocer los recursos de nulidad incoados contra los actos administrativos emanados del Banco Nacional de Vivienda y Hábitat (BANAVIH) y de cualquier otro ente púbico encargado de la administración de mencionado Fondo, en ejercicio de las facultades de control, inspección, y supervisión atribuidas, </w:t>
      </w:r>
      <w:r w:rsidRPr="006E681A">
        <w:rPr>
          <w:rFonts w:ascii="Times New Roman" w:hAnsi="Times New Roman" w:cs="Times New Roman"/>
          <w:b/>
          <w:bCs/>
          <w:i/>
          <w:iCs/>
          <w:sz w:val="22"/>
          <w:szCs w:val="22"/>
          <w:lang w:val="en-US"/>
        </w:rPr>
        <w:t>corresponde a la jurisdicción contencioso administrativa ordinaria o general</w:t>
      </w:r>
      <w:r w:rsidRPr="006E681A">
        <w:rPr>
          <w:rFonts w:ascii="Times New Roman" w:hAnsi="Times New Roman" w:cs="Times New Roman"/>
          <w:i/>
          <w:iCs/>
          <w:sz w:val="22"/>
          <w:szCs w:val="22"/>
          <w:lang w:val="en-US"/>
        </w:rPr>
        <w:t>”</w:t>
      </w:r>
      <w:r w:rsidRPr="006E681A">
        <w:rPr>
          <w:rFonts w:ascii="Times New Roman" w:hAnsi="Times New Roman" w:cs="Times New Roman"/>
          <w:sz w:val="22"/>
          <w:szCs w:val="22"/>
          <w:lang w:val="en-US"/>
        </w:rPr>
        <w:t>, concretamente, a las Cortes de lo Contencioso Administrativo, hoy Juzgados Nacionales, de acuerdo a lo dispuesto en los artículos 9, 24, numeral 5 de la Ley Orgánica de la Jurisdicción Contencioso Administrativa. (Destacado de esta Sala).</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En la indicada decisión la Sala Político-Administrativa puso de relieve que el conocimiento y resolución de los recursos de nulidad interpuestos contra actos administrativos emanados del Banco Nacional de Vivienda y Hábitat (BANAVIH), no correspondía a la jurisdicción contencioso tributaria sino a la jurisdicción contencioso administrativa ordinaria, razón por la cual declaró la nulidad de la sentencia dictada en primera instancia por el Tribunal Superior Noveno de lo Contencioso Tributario de la Circunscripción Judicial del Área Metropolitana de Caracas.</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Por otra parte, en orden al carácter extensivo que la Sala Constitucional dio a su decisión vinculante, esta Sala Político-Administrativa estima que siendo el centro de lo debatido lo atinente a la naturaleza jurídica de los aportes al Fondo de Ahorro Obligatorio para la Vivienda (FAOV) y la no prescripción de los mismos, puntos específicos sobre los cuales no se requiere de esta Sala un pronunciamiento que amerite un estudio distinto al realizado por la Sala Constitucional en la indicada sentencia vinculante Nro. 1.771 del 28 de noviembre de 2011; esta Máxima Instancia en aras de ejercer una justicia expedita y garantizar la tutela judicial efectiva prevista en el artículo 26 de la Constitución de la República Bolivariana de Venezuela -lo cual supone darle al caso una solución efectiva e inmediata-, en observancia de los principios de celeridad, economía y eficacia procesal orientados como están a evitar dilaciones innecesarias y reposiciones </w:t>
      </w:r>
      <w:r w:rsidRPr="006E681A">
        <w:rPr>
          <w:rFonts w:ascii="Times New Roman" w:hAnsi="Times New Roman" w:cs="Times New Roman"/>
          <w:i/>
          <w:iCs/>
          <w:sz w:val="22"/>
          <w:szCs w:val="22"/>
          <w:lang w:val="en-US"/>
        </w:rPr>
        <w:t>“inútiles”,</w:t>
      </w:r>
      <w:r w:rsidRPr="006E681A">
        <w:rPr>
          <w:rFonts w:ascii="Times New Roman" w:hAnsi="Times New Roman" w:cs="Times New Roman"/>
          <w:sz w:val="22"/>
          <w:szCs w:val="22"/>
          <w:lang w:val="en-US"/>
        </w:rPr>
        <w:t xml:space="preserve"> y en atención a lo ordenado en la parte dispositiva del mencionado fallo dictado por la Sala Constitucional; anula la decisión interlocutoria Nro. 047/2010 del 19 de marzo de 2010 dictada por el Tribunal Superior Cuarto de lo Contencioso Tributario de la Circunscripción Judicial del Área Metropolitana de Caracas (que declaró procedente la medida cautelar de suspensión de efectos solicitada conjuntamente con el </w:t>
      </w:r>
      <w:r w:rsidRPr="006E681A">
        <w:rPr>
          <w:rFonts w:ascii="Times New Roman" w:hAnsi="Times New Roman" w:cs="Times New Roman"/>
          <w:i/>
          <w:iCs/>
          <w:sz w:val="22"/>
          <w:szCs w:val="22"/>
          <w:lang w:val="en-US"/>
        </w:rPr>
        <w:t>“recurso contencioso tributario”</w:t>
      </w:r>
      <w:r w:rsidRPr="006E681A">
        <w:rPr>
          <w:rFonts w:ascii="Times New Roman" w:hAnsi="Times New Roman" w:cs="Times New Roman"/>
          <w:sz w:val="22"/>
          <w:szCs w:val="22"/>
          <w:lang w:val="en-US"/>
        </w:rPr>
        <w:t>) y la sentencia definitiva Nro. 022/2011 dictada por el mismo Tribunal el 16 de marzo de 2011. Así se declara.</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Con vista a lo decidido, resulta improcedente conocer sobre la apelación incoada ante esta Alzada por la representación judicial del Banco Nacional de Vivienda y Hábitat, por haber quedado sin efecto legal alguno los pronunciamientos emitidos por la Jueza del nombrado Tribunal, en virtud de ser un órgano jurisdiccional incompetente por la materia para revisar la legalidad de los actos administrativos dictados por el Banco Nacional de Vivienda y Hábitat (BANAVIH) por no ser estos de naturaleza tributaria, conforme al criterio vinculante sentado por la Sala Constitucional del Tribunal Supremo de Justicia. Así se decide.</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Resuelto lo anterior, pasa esta Sala a conocer el recurso contencioso administrativo de nulidad interpuesto por la empresa ACBL de Venezuela, C.A., tomando en cuenta la doctrina judicial vinculante fijada por la Sala Constitucional del Máximo Tribunal, no sin antes estimar desde este escenario que las actuaciones procesales llevadas a cabo en el curso del juicio contencioso tributario en el Tribunal Superior Cuarto de lo Contencioso Tributario de la </w:t>
      </w:r>
      <w:r w:rsidRPr="006E681A">
        <w:rPr>
          <w:rFonts w:ascii="Times New Roman" w:hAnsi="Times New Roman" w:cs="Times New Roman"/>
          <w:sz w:val="22"/>
          <w:szCs w:val="22"/>
          <w:lang w:val="en-US"/>
        </w:rPr>
        <w:lastRenderedPageBreak/>
        <w:t xml:space="preserve">Circunscripción Judicial del Área Metropolitana de Caracas   -salvo las sentencias antes anuladas-, se encuentran ajustadas a derecho por haberse salvaguardado en ellas el derecho a la defensa y al debido proceso de las partes, pues la tramitación del recurso contencioso administrativo de nulidad y la del recurso contencioso tributario, en ningún modo, es incompatible por ser estos dos recursos medios clásicos de impugnación de actuaciones emanadas de la Administración; en el primer caso, actos administrativos derivados de la aplicación de leyes administrativas y, en el segundo caso, actos administrativos tributarios, como resultado de la aplicación de normas tributarias, conforme a las disposiciones legales que regulan a ambos recursos, vale decir, la Ley Orgánica del Tribunal Supremo de Justicia de 2004 (vigente para el momento de la interposición del </w:t>
      </w:r>
      <w:r w:rsidRPr="006E681A">
        <w:rPr>
          <w:rFonts w:ascii="Times New Roman" w:hAnsi="Times New Roman" w:cs="Times New Roman"/>
          <w:i/>
          <w:iCs/>
          <w:sz w:val="22"/>
          <w:szCs w:val="22"/>
          <w:lang w:val="en-US"/>
        </w:rPr>
        <w:t>“recurso contencioso tributario”</w:t>
      </w:r>
      <w:r w:rsidRPr="006E681A">
        <w:rPr>
          <w:rFonts w:ascii="Times New Roman" w:hAnsi="Times New Roman" w:cs="Times New Roman"/>
          <w:sz w:val="22"/>
          <w:szCs w:val="22"/>
          <w:lang w:val="en-US"/>
        </w:rPr>
        <w:t>), la Ley Orgánica de la Jurisdicción Contencioso Administrativa (vigente para la oportunidad de decidir el presente recurso) y el Código Orgánico Tributario de 2001; razón por la cual esta Alzada valida los aludidos actos procesales. Así se declara.</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En orden a las consideraciones realizadas, entra esta Sala a resolver el recurso contencioso administrativo de nulidad de autos y, en tal sentido, aprecia que la controversia en el caso objeto de análisis se circunscribe a verificar lo siguiente: i) la violación del derecho a la defensa y al debido proceso de la citada empresa por parte de la Gerencia de Fiscalización del Banco Nacional de la Vivienda y Hábitat (BANAVIH) al emitir la </w:t>
      </w:r>
      <w:r w:rsidRPr="006E681A">
        <w:rPr>
          <w:rFonts w:ascii="Times New Roman" w:hAnsi="Times New Roman" w:cs="Times New Roman"/>
          <w:i/>
          <w:iCs/>
          <w:sz w:val="22"/>
          <w:szCs w:val="22"/>
          <w:lang w:val="en-US"/>
        </w:rPr>
        <w:t xml:space="preserve">Resolución </w:t>
      </w:r>
      <w:r w:rsidRPr="006E681A">
        <w:rPr>
          <w:rFonts w:ascii="Times New Roman" w:hAnsi="Times New Roman" w:cs="Times New Roman"/>
          <w:sz w:val="22"/>
          <w:szCs w:val="22"/>
          <w:lang w:val="en-US"/>
        </w:rPr>
        <w:t>Nro.</w:t>
      </w:r>
      <w:r w:rsidRPr="006E681A">
        <w:rPr>
          <w:rFonts w:ascii="Times New Roman" w:hAnsi="Times New Roman" w:cs="Times New Roman"/>
          <w:i/>
          <w:iCs/>
          <w:sz w:val="22"/>
          <w:szCs w:val="22"/>
          <w:lang w:val="en-US"/>
        </w:rPr>
        <w:t xml:space="preserve"> 0129 </w:t>
      </w:r>
      <w:r w:rsidRPr="006E681A">
        <w:rPr>
          <w:rFonts w:ascii="Times New Roman" w:hAnsi="Times New Roman" w:cs="Times New Roman"/>
          <w:sz w:val="22"/>
          <w:szCs w:val="22"/>
          <w:lang w:val="en-US"/>
        </w:rPr>
        <w:t xml:space="preserve">de fecha 6 de abril de 2009, en ausencia o incumplimiento del procedimiento para la fiscalización y determinación tributaria, establecido en los artículos 177 y siguientes del </w:t>
      </w:r>
      <w:r w:rsidRPr="009C5A44">
        <w:rPr>
          <w:rFonts w:ascii="Times New Roman" w:hAnsi="Times New Roman" w:cs="Times New Roman"/>
          <w:sz w:val="22"/>
          <w:szCs w:val="22"/>
          <w:lang w:val="en-US"/>
        </w:rPr>
        <w:t>Código Orgánico Tributario de 2001; ii) la aplicación de la figura de la prescripción a los aportes que deben prestarse al Fondo de Ahorro Obligatorio para la Vivienda (FAOV) correspondientes al año</w:t>
      </w:r>
      <w:r w:rsidRPr="006E681A">
        <w:rPr>
          <w:rFonts w:ascii="Times New Roman" w:hAnsi="Times New Roman" w:cs="Times New Roman"/>
          <w:sz w:val="22"/>
          <w:szCs w:val="22"/>
          <w:lang w:val="en-US"/>
        </w:rPr>
        <w:t xml:space="preserve"> 2003, de acuerdo a lo contemplado en el artículo 55 del mismo Código; iii) el vicio de falso supuesto de derecho del </w:t>
      </w:r>
      <w:r w:rsidRPr="006E681A">
        <w:rPr>
          <w:rFonts w:ascii="Times New Roman" w:hAnsi="Times New Roman" w:cs="Times New Roman"/>
          <w:i/>
          <w:iCs/>
          <w:sz w:val="22"/>
          <w:szCs w:val="22"/>
          <w:lang w:val="en-US"/>
        </w:rPr>
        <w:t>“reparo fiscal”</w:t>
      </w:r>
      <w:r w:rsidRPr="006E681A">
        <w:rPr>
          <w:rFonts w:ascii="Times New Roman" w:hAnsi="Times New Roman" w:cs="Times New Roman"/>
          <w:sz w:val="22"/>
          <w:szCs w:val="22"/>
          <w:lang w:val="en-US"/>
        </w:rPr>
        <w:t xml:space="preserve">, al incluir en la base de cálculo de los respectivos aportes de los años revisados, conceptos no calificados como </w:t>
      </w:r>
      <w:r w:rsidRPr="006E681A">
        <w:rPr>
          <w:rFonts w:ascii="Times New Roman" w:hAnsi="Times New Roman" w:cs="Times New Roman"/>
          <w:i/>
          <w:iCs/>
          <w:sz w:val="22"/>
          <w:szCs w:val="22"/>
          <w:lang w:val="en-US"/>
        </w:rPr>
        <w:t xml:space="preserve">“salario normal” </w:t>
      </w:r>
      <w:r w:rsidRPr="006E681A">
        <w:rPr>
          <w:rFonts w:ascii="Times New Roman" w:hAnsi="Times New Roman" w:cs="Times New Roman"/>
          <w:sz w:val="22"/>
          <w:szCs w:val="22"/>
          <w:lang w:val="en-US"/>
        </w:rPr>
        <w:t>y, otros, a criterio de la empresa recurrente,</w:t>
      </w:r>
      <w:r w:rsidRPr="006E681A">
        <w:rPr>
          <w:rFonts w:ascii="Times New Roman" w:hAnsi="Times New Roman" w:cs="Times New Roman"/>
          <w:i/>
          <w:iCs/>
          <w:sz w:val="22"/>
          <w:szCs w:val="22"/>
          <w:lang w:val="en-US"/>
        </w:rPr>
        <w:t xml:space="preserve"> </w:t>
      </w:r>
      <w:r w:rsidRPr="006E681A">
        <w:rPr>
          <w:rFonts w:ascii="Times New Roman" w:hAnsi="Times New Roman" w:cs="Times New Roman"/>
          <w:sz w:val="22"/>
          <w:szCs w:val="22"/>
          <w:lang w:val="en-US"/>
        </w:rPr>
        <w:t>que ni siquiera son salario sino beneficios contractuales; asimismo,</w:t>
      </w:r>
      <w:r w:rsidRPr="006E681A">
        <w:rPr>
          <w:rFonts w:ascii="Times New Roman" w:hAnsi="Times New Roman" w:cs="Times New Roman"/>
          <w:i/>
          <w:iCs/>
          <w:sz w:val="22"/>
          <w:szCs w:val="22"/>
          <w:lang w:val="en-US"/>
        </w:rPr>
        <w:t xml:space="preserve"> </w:t>
      </w:r>
      <w:r w:rsidRPr="006E681A">
        <w:rPr>
          <w:rFonts w:ascii="Times New Roman" w:hAnsi="Times New Roman" w:cs="Times New Roman"/>
          <w:sz w:val="22"/>
          <w:szCs w:val="22"/>
          <w:lang w:val="en-US"/>
        </w:rPr>
        <w:t>considerar la funcionaria actuante que los aportes al mencionado Fondo no tienen tope o límite para su cálculo; y iv) la procedencia de la condenatoria en costas al Banco Nacional de la Vivienda y Hábitat (BANAVIH).</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Antes de decidir sobre los particulares enumerados, es pertinente señalar que en el caso concreto el </w:t>
      </w:r>
      <w:r w:rsidRPr="006E681A">
        <w:rPr>
          <w:rFonts w:ascii="Times New Roman" w:hAnsi="Times New Roman" w:cs="Times New Roman"/>
          <w:i/>
          <w:iCs/>
          <w:sz w:val="22"/>
          <w:szCs w:val="22"/>
          <w:lang w:val="en-US"/>
        </w:rPr>
        <w:t>“recurso contencioso tributario”,</w:t>
      </w:r>
      <w:r w:rsidRPr="006E681A">
        <w:rPr>
          <w:rFonts w:ascii="Times New Roman" w:hAnsi="Times New Roman" w:cs="Times New Roman"/>
          <w:sz w:val="22"/>
          <w:szCs w:val="22"/>
          <w:lang w:val="en-US"/>
        </w:rPr>
        <w:t xml:space="preserve"> hoy examinado como un recurso contencioso administrativo de nulidad, fue incoado conjuntamente con una solicitud de medida cautelar de suspensión de efectos, cautela respecto a la cual la Sala no se pronunciará por ser de carácter accesorio y provisional a la acción principal de nulidad cuyo fondo corresponde ahora conocer, atendiendo al criterio vinculante sentado como resultado de la revisión de la Sala Constitucional. Así se declara.</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Para decidir, la Sala observa:</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proofErr w:type="gramStart"/>
      <w:r w:rsidRPr="006E681A">
        <w:rPr>
          <w:rFonts w:ascii="Times New Roman" w:hAnsi="Times New Roman" w:cs="Times New Roman"/>
          <w:b/>
          <w:bCs/>
          <w:sz w:val="22"/>
          <w:szCs w:val="22"/>
          <w:lang w:val="en-US"/>
        </w:rPr>
        <w:t>1.-</w:t>
      </w:r>
      <w:proofErr w:type="gramEnd"/>
      <w:r w:rsidRPr="006E681A">
        <w:rPr>
          <w:rFonts w:ascii="Times New Roman" w:hAnsi="Times New Roman" w:cs="Times New Roman"/>
          <w:b/>
          <w:bCs/>
          <w:sz w:val="22"/>
          <w:szCs w:val="22"/>
          <w:lang w:val="en-US"/>
        </w:rPr>
        <w:t xml:space="preserve"> De la supuesta violación del derecho a la defensa y al debido proceso de la recurrente:</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Denuncia el apoderado judicial de la sociedad mercantil ACBL de Venezuela, C.A., la transgresión de los derechos constitucionales referidos a la defensa y al debido proceso, bajo el argumento de que la Gerencia de Fiscalización del Banco Nacional de la Vivienda y Hábitat (BANAVIH) al emitir la </w:t>
      </w:r>
      <w:r w:rsidRPr="006E681A">
        <w:rPr>
          <w:rFonts w:ascii="Times New Roman" w:hAnsi="Times New Roman" w:cs="Times New Roman"/>
          <w:i/>
          <w:iCs/>
          <w:sz w:val="22"/>
          <w:szCs w:val="22"/>
          <w:lang w:val="en-US"/>
        </w:rPr>
        <w:t xml:space="preserve">Resolución Nro. 0129 </w:t>
      </w:r>
      <w:r w:rsidRPr="006E681A">
        <w:rPr>
          <w:rFonts w:ascii="Times New Roman" w:hAnsi="Times New Roman" w:cs="Times New Roman"/>
          <w:sz w:val="22"/>
          <w:szCs w:val="22"/>
          <w:lang w:val="en-US"/>
        </w:rPr>
        <w:t xml:space="preserve">de fecha 6 de abril de 2009, con fundamento en el </w:t>
      </w:r>
      <w:r w:rsidRPr="006E681A">
        <w:rPr>
          <w:rFonts w:ascii="Times New Roman" w:hAnsi="Times New Roman" w:cs="Times New Roman"/>
          <w:i/>
          <w:iCs/>
          <w:sz w:val="22"/>
          <w:szCs w:val="22"/>
          <w:lang w:val="en-US"/>
        </w:rPr>
        <w:t>Acta de Fiscalización</w:t>
      </w:r>
      <w:r w:rsidRPr="006E681A">
        <w:rPr>
          <w:rFonts w:ascii="Times New Roman" w:hAnsi="Times New Roman" w:cs="Times New Roman"/>
          <w:sz w:val="22"/>
          <w:szCs w:val="22"/>
          <w:lang w:val="en-US"/>
        </w:rPr>
        <w:t xml:space="preserve"> Nro. 2008-238-1 </w:t>
      </w:r>
      <w:proofErr w:type="gramStart"/>
      <w:r w:rsidRPr="006E681A">
        <w:rPr>
          <w:rFonts w:ascii="Times New Roman" w:hAnsi="Times New Roman" w:cs="Times New Roman"/>
          <w:sz w:val="22"/>
          <w:szCs w:val="22"/>
          <w:lang w:val="en-US"/>
        </w:rPr>
        <w:t>del</w:t>
      </w:r>
      <w:proofErr w:type="gramEnd"/>
      <w:r w:rsidRPr="006E681A">
        <w:rPr>
          <w:rFonts w:ascii="Times New Roman" w:hAnsi="Times New Roman" w:cs="Times New Roman"/>
          <w:sz w:val="22"/>
          <w:szCs w:val="22"/>
          <w:lang w:val="en-US"/>
        </w:rPr>
        <w:t xml:space="preserve"> 20 de noviembre de 2008, lo hizo en incumplimiento del procedimiento de fiscalización y determinación de la obligación tributaria, previsto en los artículos 177 y siguientes del Código Orgánico Tributario de 2001.</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Respecto a las garantías de orden constitucional </w:t>
      </w:r>
      <w:proofErr w:type="gramStart"/>
      <w:r w:rsidRPr="006E681A">
        <w:rPr>
          <w:rFonts w:ascii="Times New Roman" w:hAnsi="Times New Roman" w:cs="Times New Roman"/>
          <w:sz w:val="22"/>
          <w:szCs w:val="22"/>
          <w:lang w:val="en-US"/>
        </w:rPr>
        <w:t>del</w:t>
      </w:r>
      <w:proofErr w:type="gramEnd"/>
      <w:r w:rsidRPr="006E681A">
        <w:rPr>
          <w:rFonts w:ascii="Times New Roman" w:hAnsi="Times New Roman" w:cs="Times New Roman"/>
          <w:sz w:val="22"/>
          <w:szCs w:val="22"/>
          <w:lang w:val="en-US"/>
        </w:rPr>
        <w:t xml:space="preserve"> derecho de defensa y al debido </w:t>
      </w:r>
      <w:r w:rsidRPr="006E681A">
        <w:rPr>
          <w:rFonts w:ascii="Times New Roman" w:hAnsi="Times New Roman" w:cs="Times New Roman"/>
          <w:sz w:val="22"/>
          <w:szCs w:val="22"/>
          <w:lang w:val="en-US"/>
        </w:rPr>
        <w:lastRenderedPageBreak/>
        <w:t>proceso, esta Sala ha precisado lo siguiente:</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i/>
          <w:iCs/>
          <w:sz w:val="22"/>
          <w:szCs w:val="22"/>
          <w:lang w:val="en-US"/>
        </w:rPr>
        <w:t xml:space="preserve">“Ahora bien, en cuanto al contenido del derecho a la defensa y a la tutela judicial efectiva, </w:t>
      </w:r>
      <w:r w:rsidRPr="006E681A">
        <w:rPr>
          <w:rFonts w:ascii="Times New Roman" w:hAnsi="Times New Roman" w:cs="Times New Roman"/>
          <w:sz w:val="22"/>
          <w:szCs w:val="22"/>
          <w:lang w:val="en-US"/>
        </w:rPr>
        <w:t>(…)</w:t>
      </w:r>
      <w:r w:rsidRPr="006E681A">
        <w:rPr>
          <w:rFonts w:ascii="Times New Roman" w:hAnsi="Times New Roman" w:cs="Times New Roman"/>
          <w:i/>
          <w:iCs/>
          <w:sz w:val="22"/>
          <w:szCs w:val="22"/>
          <w:lang w:val="en-US"/>
        </w:rPr>
        <w:t>, que éstos se encuentran contemplados en los artículos 49 y 26 de la Constitución de la República Bolivariana de Venezuela, respectivamente.</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i/>
          <w:iCs/>
          <w:sz w:val="22"/>
          <w:szCs w:val="22"/>
          <w:lang w:val="en-US"/>
        </w:rPr>
        <w:t>El primero, esto es, el derecho a la defensa, debe ser considerado no sólo como la oportunidad para el ciudadano encausado o presunto infractor de hacer oír sus alegatos, sino el derecho de exigir al Estado el cumplimiento previo a la imposición de la sanción, de un conjunto de actos o procedimientos destinados a permitirle conocer con precisión los hechos que se le imputan y las disposiciones legales aplicables a los mismos, hacer oportunamente alegatos en su descargo, promover y evacuar pruebas., etc.</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i/>
          <w:iCs/>
          <w:sz w:val="22"/>
          <w:szCs w:val="22"/>
          <w:lang w:val="en-US"/>
        </w:rPr>
        <w:t xml:space="preserve">Por su parte, el derecho a la tutela judicial efectiva ha sido definido por este órgano jurisdiccional como el que tiene toda persona de acceder a los órganos de administración de justicia para hacer valer sus derechos e intereses, lo cual implica necesariamente el derecho al libre acceso, sin limitaciones ni cargas excesivas o irracionales, a la justicia que imparten los tribunales de la República, así como a obtener de ellos una tutela efectiva, situación que engloba además, el derecho a una protección cautelar o anticipada y a obtener, luego del proceso, una sentencia basada en derecho, y una decisión jurisdiccional efectiva, que sea plenamente ejecutable”. </w:t>
      </w:r>
      <w:r w:rsidRPr="006E681A">
        <w:rPr>
          <w:rFonts w:ascii="Times New Roman" w:hAnsi="Times New Roman" w:cs="Times New Roman"/>
          <w:sz w:val="22"/>
          <w:szCs w:val="22"/>
          <w:lang w:val="en-US"/>
        </w:rPr>
        <w:t>(</w:t>
      </w:r>
      <w:r w:rsidRPr="006E681A">
        <w:rPr>
          <w:rFonts w:ascii="Times New Roman" w:hAnsi="Times New Roman" w:cs="Times New Roman"/>
          <w:i/>
          <w:iCs/>
          <w:sz w:val="22"/>
          <w:szCs w:val="22"/>
          <w:lang w:val="en-US"/>
        </w:rPr>
        <w:t>Vid.</w:t>
      </w:r>
      <w:r w:rsidRPr="006E681A">
        <w:rPr>
          <w:rFonts w:ascii="Times New Roman" w:hAnsi="Times New Roman" w:cs="Times New Roman"/>
          <w:sz w:val="22"/>
          <w:szCs w:val="22"/>
          <w:lang w:val="en-US"/>
        </w:rPr>
        <w:t xml:space="preserve"> sentencias Nros. 00293 y 01266 de fechas 14 de abril de 2010 y 9 de diciembre de 2010, casos: </w:t>
      </w:r>
      <w:r w:rsidRPr="006E681A">
        <w:rPr>
          <w:rFonts w:ascii="Times New Roman" w:hAnsi="Times New Roman" w:cs="Times New Roman"/>
          <w:i/>
          <w:iCs/>
          <w:sz w:val="22"/>
          <w:szCs w:val="22"/>
          <w:lang w:val="en-US"/>
        </w:rPr>
        <w:t>Miguel Ángel Martín Tortabú</w:t>
      </w:r>
      <w:r w:rsidRPr="006E681A">
        <w:rPr>
          <w:rFonts w:ascii="Times New Roman" w:hAnsi="Times New Roman" w:cs="Times New Roman"/>
          <w:sz w:val="22"/>
          <w:szCs w:val="22"/>
          <w:lang w:val="en-US"/>
        </w:rPr>
        <w:t xml:space="preserve"> y </w:t>
      </w:r>
      <w:r w:rsidRPr="006E681A">
        <w:rPr>
          <w:rFonts w:ascii="Times New Roman" w:hAnsi="Times New Roman" w:cs="Times New Roman"/>
          <w:i/>
          <w:iCs/>
          <w:sz w:val="22"/>
          <w:szCs w:val="22"/>
          <w:lang w:val="en-US"/>
        </w:rPr>
        <w:t>David José Rondón Jaramillo</w:t>
      </w:r>
      <w:r w:rsidRPr="006E681A">
        <w:rPr>
          <w:rFonts w:ascii="Times New Roman" w:hAnsi="Times New Roman" w:cs="Times New Roman"/>
          <w:sz w:val="22"/>
          <w:szCs w:val="22"/>
          <w:lang w:val="en-US"/>
        </w:rPr>
        <w:t>, respectivamente).</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Al circunscribir el análisis de lo antes sentado al caso concreto, en atención al criterio establecido con carácter vinculante por la Sala Constitucional del Tribunal Supremo de Justicia en la mencionada sentencia Nro. 1.771 del 28 de noviembre de 2011, en la que se dejó claro la no compatibilidad de la naturaleza de los aportes al Fondo de Ahorro Obligatorio para la Vivienda (FAOV) con el concepto de parafiscalidad y, por tanto,  se consideraron los referidos aportes al margen de las normas del derecho tributario; esta Sala Político-Administrativa debe concluir que resulta inaplicable al caso bajo examen el procedimiento de fiscalización y determinación previsto en los artículos 177 y siguientes del Código Orgánico Tributario de 2001, a efectos de establecerse el monto de los aportes que deben pagarse al citado Fondo.</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En armonía con lo anterior, de la revisión exhaustiva de las actas procesales que conforman el expediente judicial, específicamente, </w:t>
      </w:r>
      <w:proofErr w:type="gramStart"/>
      <w:r w:rsidRPr="006E681A">
        <w:rPr>
          <w:rFonts w:ascii="Times New Roman" w:hAnsi="Times New Roman" w:cs="Times New Roman"/>
          <w:sz w:val="22"/>
          <w:szCs w:val="22"/>
          <w:lang w:val="en-US"/>
        </w:rPr>
        <w:t>del</w:t>
      </w:r>
      <w:proofErr w:type="gramEnd"/>
      <w:r w:rsidRPr="006E681A">
        <w:rPr>
          <w:rFonts w:ascii="Times New Roman" w:hAnsi="Times New Roman" w:cs="Times New Roman"/>
          <w:sz w:val="22"/>
          <w:szCs w:val="22"/>
          <w:lang w:val="en-US"/>
        </w:rPr>
        <w:t xml:space="preserve"> acto administrativo recurrido, la Sala observa lo siguiente:</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a) La Gerencia de Fiscalización del Banco Nacional de la Vivienda y Hábitat (BANAVIH) llevó a cabo el procedimiento de fiscalización del cumplimiento de los aportes que deben realizar tanto las patronas y los patronos como las trabajadoras y los trabajadores al Fondo de Ahorro obligatorio para la Vivienda (FAOV), conforme a lo dispuesto en el artículo 12, numerales 8, 15 y 16 del Decreto Nro. 6.072 con Rango y Fuerza de Ley del Régimen Prestacional de Vivienda y Hábitat del 14 de mayo de 2008, publicado en la Gaceta Oficial de </w:t>
      </w:r>
      <w:r w:rsidRPr="006E681A">
        <w:rPr>
          <w:rFonts w:ascii="Times New Roman" w:hAnsi="Times New Roman" w:cs="Times New Roman"/>
          <w:sz w:val="22"/>
          <w:szCs w:val="22"/>
          <w:lang w:val="en-US"/>
        </w:rPr>
        <w:lastRenderedPageBreak/>
        <w:t>la República Bolivariana de Venezuela Nro. 5.889 Extraordinario del 31 de julio de 2008, el cual confiere al aludido Banco la competencia para supervisar, evaluar, fiscalizar y controlar la recaudación y distribución de los recursos del prenombrado Fondo y requerir información a cualquier institución pública o privada relacionada con el Sistema Nacional de Vivienda y Hábitat.</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Asimismo, se aprecia que la funcionaria actuante requirió a la sociedad mercantil ACBL de Venezuela, C.A., la documentación necesaria para verificar el cumplimiento de las obligaciones previstas en el mencionado Sistema, de acuerdo a lo contemplado en los artículos 36 de la Ley que Regula el Subsistema de Vivienda y Política Habitacional de 2000, 172 de la Ley de Régimen Prestacional de Vivienda y Hábitat de 2005 y 30 del Decreto Nro. 6.072 con Rango y Fuerza de Ley del Régimen Prestacional de Vivienda y Hábitat de 2008; con fundamento en lo cual emitió el </w:t>
      </w:r>
      <w:r w:rsidRPr="006E681A">
        <w:rPr>
          <w:rFonts w:ascii="Times New Roman" w:hAnsi="Times New Roman" w:cs="Times New Roman"/>
          <w:i/>
          <w:iCs/>
          <w:sz w:val="22"/>
          <w:szCs w:val="22"/>
          <w:lang w:val="en-US"/>
        </w:rPr>
        <w:t>Acta de Fiscalización</w:t>
      </w:r>
      <w:r w:rsidRPr="006E681A">
        <w:rPr>
          <w:rFonts w:ascii="Times New Roman" w:hAnsi="Times New Roman" w:cs="Times New Roman"/>
          <w:sz w:val="22"/>
          <w:szCs w:val="22"/>
          <w:lang w:val="en-US"/>
        </w:rPr>
        <w:t xml:space="preserve"> y notificó a la empresa el monto de los aportes no depositados al Fondo de Ahorro obligatorio para la Vivienda (FAOV) y de los respectivos rendimientos.</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b) La referida Gerencia le informó a la sociedad de comercio recurrente en el acto impugnado (</w:t>
      </w:r>
      <w:r w:rsidRPr="006E681A">
        <w:rPr>
          <w:rFonts w:ascii="Times New Roman" w:hAnsi="Times New Roman" w:cs="Times New Roman"/>
          <w:i/>
          <w:iCs/>
          <w:sz w:val="22"/>
          <w:szCs w:val="22"/>
          <w:lang w:val="en-US"/>
        </w:rPr>
        <w:t xml:space="preserve">Resolución </w:t>
      </w:r>
      <w:r w:rsidRPr="006E681A">
        <w:rPr>
          <w:rFonts w:ascii="Times New Roman" w:hAnsi="Times New Roman" w:cs="Times New Roman"/>
          <w:sz w:val="22"/>
          <w:szCs w:val="22"/>
          <w:lang w:val="en-US"/>
        </w:rPr>
        <w:t>Nro.</w:t>
      </w:r>
      <w:r w:rsidRPr="006E681A">
        <w:rPr>
          <w:rFonts w:ascii="Times New Roman" w:hAnsi="Times New Roman" w:cs="Times New Roman"/>
          <w:i/>
          <w:iCs/>
          <w:sz w:val="22"/>
          <w:szCs w:val="22"/>
          <w:lang w:val="en-US"/>
        </w:rPr>
        <w:t xml:space="preserve"> 0129 </w:t>
      </w:r>
      <w:r w:rsidRPr="006E681A">
        <w:rPr>
          <w:rFonts w:ascii="Times New Roman" w:hAnsi="Times New Roman" w:cs="Times New Roman"/>
          <w:sz w:val="22"/>
          <w:szCs w:val="22"/>
          <w:lang w:val="en-US"/>
        </w:rPr>
        <w:t>de fecha 6 de abril de 2009), que podía ejercer los recursos contemplados en el artículo 85 y siguientes de la Ley Orgánica de Procedimientos Administrativos.</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En consecuencia, queda claro que la Gerencia de Fiscalización del Banco Nacional de la Vivienda y Hábitat (BANAVIH) actuó conforme a la normativa que regula su actuación, al momento de constatar el incumplimiento de la empresa recurrente de las obligaciones previstas en el Sistema Nacional de Vivienda y Hábitat; por consiguiente, se desestima el alegato esgrimido por la sociedad de comercio aportante sobre la supuesta violación del derecho a la defensa y al debido proceso. Así se decide.</w:t>
      </w:r>
    </w:p>
    <w:p w:rsidR="00603A26" w:rsidRPr="006E681A" w:rsidRDefault="00603A26" w:rsidP="00603A26">
      <w:pPr>
        <w:widowControl w:val="0"/>
        <w:autoSpaceDE w:val="0"/>
        <w:autoSpaceDN w:val="0"/>
        <w:adjustRightInd w:val="0"/>
        <w:spacing w:after="160"/>
        <w:ind w:firstLine="940"/>
        <w:jc w:val="both"/>
        <w:rPr>
          <w:rFonts w:ascii="Times New Roman" w:hAnsi="Times New Roman" w:cs="Times New Roman"/>
          <w:sz w:val="22"/>
          <w:szCs w:val="22"/>
          <w:lang w:val="en-US"/>
        </w:rPr>
      </w:pPr>
      <w:proofErr w:type="gramStart"/>
      <w:r w:rsidRPr="006E681A">
        <w:rPr>
          <w:rFonts w:ascii="Times New Roman" w:hAnsi="Times New Roman" w:cs="Times New Roman"/>
          <w:sz w:val="22"/>
          <w:szCs w:val="22"/>
          <w:lang w:val="en-US"/>
        </w:rPr>
        <w:t>2.-</w:t>
      </w:r>
      <w:proofErr w:type="gramEnd"/>
      <w:r w:rsidRPr="006E681A">
        <w:rPr>
          <w:rFonts w:ascii="Times New Roman" w:hAnsi="Times New Roman" w:cs="Times New Roman"/>
          <w:sz w:val="22"/>
          <w:szCs w:val="22"/>
          <w:lang w:val="en-US"/>
        </w:rPr>
        <w:t xml:space="preserve"> </w:t>
      </w:r>
      <w:r w:rsidRPr="006E681A">
        <w:rPr>
          <w:rFonts w:ascii="Times New Roman" w:hAnsi="Times New Roman" w:cs="Times New Roman"/>
          <w:b/>
          <w:bCs/>
          <w:sz w:val="22"/>
          <w:szCs w:val="22"/>
          <w:lang w:val="en-US"/>
        </w:rPr>
        <w:t>De la prescripción:</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La recurrente solicita la nulidad del acto administrativo, por cuanto -a su decir- la Gerencia de Fiscalización del Banco Nacional de Vivienda y Hábitat (BANAVIH), pretendió determinar y exigir obligaciones tributarias por concepto de aportes correspondientes al año 2003, los cuales aún en el supuesto negado de ser procedentes, su posibilidad de cobro supuestamente se extinguió, por haberse consumado la prescripción contemplada en el artículo 55 del Código Orgánico Tributario de 2001.</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En lo relativo a la prescripción de los señalados aportes, la Sala Constitucional en la sentencia vinculante Nro. 1.771 </w:t>
      </w:r>
      <w:proofErr w:type="gramStart"/>
      <w:r w:rsidRPr="006E681A">
        <w:rPr>
          <w:rFonts w:ascii="Times New Roman" w:hAnsi="Times New Roman" w:cs="Times New Roman"/>
          <w:sz w:val="22"/>
          <w:szCs w:val="22"/>
          <w:lang w:val="en-US"/>
        </w:rPr>
        <w:t>del</w:t>
      </w:r>
      <w:proofErr w:type="gramEnd"/>
      <w:r w:rsidRPr="006E681A">
        <w:rPr>
          <w:rFonts w:ascii="Times New Roman" w:hAnsi="Times New Roman" w:cs="Times New Roman"/>
          <w:sz w:val="22"/>
          <w:szCs w:val="22"/>
          <w:lang w:val="en-US"/>
        </w:rPr>
        <w:t xml:space="preserve"> 28 de noviembre de 2011, sostuvo lo siguiente:</w:t>
      </w:r>
    </w:p>
    <w:p w:rsidR="00603A26" w:rsidRPr="006E681A" w:rsidRDefault="00603A26" w:rsidP="00603A26">
      <w:pPr>
        <w:widowControl w:val="0"/>
        <w:autoSpaceDE w:val="0"/>
        <w:autoSpaceDN w:val="0"/>
        <w:adjustRightInd w:val="0"/>
        <w:spacing w:after="260"/>
        <w:ind w:left="940" w:right="1400"/>
        <w:jc w:val="both"/>
        <w:rPr>
          <w:rFonts w:ascii="Times New Roman" w:hAnsi="Times New Roman" w:cs="Times New Roman"/>
          <w:sz w:val="22"/>
          <w:szCs w:val="22"/>
          <w:lang w:val="en-US"/>
        </w:rPr>
      </w:pPr>
      <w:r w:rsidRPr="006E681A">
        <w:rPr>
          <w:rFonts w:ascii="Times New Roman" w:hAnsi="Times New Roman" w:cs="Times New Roman"/>
          <w:i/>
          <w:iCs/>
          <w:sz w:val="22"/>
          <w:szCs w:val="22"/>
          <w:lang w:val="en-US"/>
        </w:rPr>
        <w:t>“</w:t>
      </w:r>
      <w:r w:rsidRPr="006E681A">
        <w:rPr>
          <w:rFonts w:ascii="Times New Roman" w:hAnsi="Times New Roman" w:cs="Times New Roman"/>
          <w:sz w:val="22"/>
          <w:szCs w:val="22"/>
          <w:lang w:val="en-US"/>
        </w:rPr>
        <w:t xml:space="preserve">(…) </w:t>
      </w:r>
      <w:r w:rsidRPr="006E681A">
        <w:rPr>
          <w:rFonts w:ascii="Times New Roman" w:hAnsi="Times New Roman" w:cs="Times New Roman"/>
          <w:i/>
          <w:iCs/>
          <w:sz w:val="22"/>
          <w:szCs w:val="22"/>
          <w:lang w:val="en-US"/>
        </w:rPr>
        <w:t>Por tanto, en primer lugar debe destacar esta Sala que la interpretación hecha por la Sala Político Administrativa de este Tribunal Supremo de Justicia, y bajo la cual se intentó adecuar los aportes al Fondo de Ahorro Obligatorio de Vivienda al sistema tributario, específicamente encuadrando dichos aportes en la concepción de parafiscalidad: parte de una concepción que choca con principios fundamentales del Estado social que propugna la Constitución de la República Bolivariana de Venezuela; por lo que esta Sala Constitucional considera que debe revisar dicho criterio y establecer que los aportes al Fondo de Ahorro Obligatorio de Vivienda, como parte del régimen prestacional de vivienda y hábitat y del sistema de seguridad social, no se adecuan al concepto de parafiscalidad y por tanto no se rigen bajo el sistema tributario. Así se declara.</w:t>
      </w:r>
    </w:p>
    <w:p w:rsidR="00603A26" w:rsidRPr="006E681A" w:rsidRDefault="00603A26" w:rsidP="00603A26">
      <w:pPr>
        <w:widowControl w:val="0"/>
        <w:autoSpaceDE w:val="0"/>
        <w:autoSpaceDN w:val="0"/>
        <w:adjustRightInd w:val="0"/>
        <w:spacing w:after="260"/>
        <w:ind w:left="940" w:right="140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lastRenderedPageBreak/>
        <w:t>(…)</w:t>
      </w:r>
    </w:p>
    <w:p w:rsidR="00603A26" w:rsidRPr="006E681A" w:rsidRDefault="00603A26" w:rsidP="00603A26">
      <w:pPr>
        <w:widowControl w:val="0"/>
        <w:autoSpaceDE w:val="0"/>
        <w:autoSpaceDN w:val="0"/>
        <w:adjustRightInd w:val="0"/>
        <w:spacing w:after="260"/>
        <w:ind w:left="940" w:right="1400"/>
        <w:jc w:val="both"/>
        <w:rPr>
          <w:rFonts w:ascii="Times New Roman" w:hAnsi="Times New Roman" w:cs="Times New Roman"/>
          <w:sz w:val="22"/>
          <w:szCs w:val="22"/>
          <w:lang w:val="en-US"/>
        </w:rPr>
      </w:pPr>
      <w:r w:rsidRPr="006E681A">
        <w:rPr>
          <w:rFonts w:ascii="Times New Roman" w:hAnsi="Times New Roman" w:cs="Times New Roman"/>
          <w:i/>
          <w:iCs/>
          <w:sz w:val="22"/>
          <w:szCs w:val="22"/>
          <w:lang w:val="en-US"/>
        </w:rPr>
        <w:t>Es pertinente señalar que la prescripción es una figura que, aunque existiendo necesariamente en el ordenamiento jurídico, en realidad nunca debiera presentarse, ya que ello presupone, o bien la indolencia de quien debe cumplir con sus obligaciones de manera oportuna, o la indiferencia de las autoridades en hacer uso de sus facultades, lo cual evidenciaría una inadecuada administración; en todo caso, la prescripción no borra o desconoce la obligación, ni al derecho para pedir su cumplimiento, sino que crea una excepción a favor de aquel que tenía la obligación.</w:t>
      </w:r>
    </w:p>
    <w:p w:rsidR="00603A26" w:rsidRPr="006E681A" w:rsidRDefault="00603A26" w:rsidP="00603A26">
      <w:pPr>
        <w:widowControl w:val="0"/>
        <w:autoSpaceDE w:val="0"/>
        <w:autoSpaceDN w:val="0"/>
        <w:adjustRightInd w:val="0"/>
        <w:spacing w:after="260"/>
        <w:ind w:left="940" w:right="1400"/>
        <w:jc w:val="both"/>
        <w:rPr>
          <w:rFonts w:ascii="Times New Roman" w:hAnsi="Times New Roman" w:cs="Times New Roman"/>
          <w:sz w:val="22"/>
          <w:szCs w:val="22"/>
          <w:lang w:val="en-US"/>
        </w:rPr>
      </w:pPr>
      <w:r w:rsidRPr="006E681A">
        <w:rPr>
          <w:rFonts w:ascii="Times New Roman" w:hAnsi="Times New Roman" w:cs="Times New Roman"/>
          <w:i/>
          <w:iCs/>
          <w:sz w:val="22"/>
          <w:szCs w:val="22"/>
          <w:lang w:val="en-US"/>
        </w:rPr>
        <w:t>Por tanto, una interpretación conforme al principio de progresividad e irrenunciabilidad de los derechos de los trabajadores (artículo 89, numerales 1 y 2); y del principio de interpretación más favorable al trabajador (artículo 89, numeral 3), a la luz de la concepción del estado social de derecho y de justicia, en el que el interés superior es el del trabajador; no puede llevarnos a otra conclusión que a declarar la imprescriptibilidad de los aportes al Fondo de Ahorro Obligatorio de Vivienda. Así se decide</w:t>
      </w:r>
      <w:r w:rsidRPr="006E681A">
        <w:rPr>
          <w:rFonts w:ascii="Times New Roman" w:hAnsi="Times New Roman" w:cs="Times New Roman"/>
          <w:sz w:val="22"/>
          <w:szCs w:val="22"/>
          <w:lang w:val="en-US"/>
        </w:rPr>
        <w:t xml:space="preserve"> (…)</w:t>
      </w:r>
      <w:r w:rsidRPr="006E681A">
        <w:rPr>
          <w:rFonts w:ascii="Times New Roman" w:hAnsi="Times New Roman" w:cs="Times New Roman"/>
          <w:i/>
          <w:iCs/>
          <w:sz w:val="22"/>
          <w:szCs w:val="22"/>
          <w:lang w:val="en-US"/>
        </w:rPr>
        <w:t>”.</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De tal manera que en atención al criterio antes expresado, y visto que en el caso de autos se trata del reconocimiento por el Estado de la progresividad e irrenunciabilidad de los derechos de las trabajadoras y los trabajadores a la luz de la solidaridad y la corresponsabilidad social entre el Estado y los aportantes, como uno de los signos distintivos del Estado Social  de Derecho y de Justicia, se desestima el alegato referido a la prescripción consumada de las obligaciones por concepto de aportes al Fondo de Ahorro Obligatorio para la Vivienda (FAOV) correspondientes al año 2003. Así se decide.</w:t>
      </w:r>
    </w:p>
    <w:p w:rsidR="00603A26" w:rsidRPr="006E681A" w:rsidRDefault="00603A26" w:rsidP="00603A26">
      <w:pPr>
        <w:widowControl w:val="0"/>
        <w:autoSpaceDE w:val="0"/>
        <w:autoSpaceDN w:val="0"/>
        <w:adjustRightInd w:val="0"/>
        <w:spacing w:after="160"/>
        <w:ind w:firstLine="940"/>
        <w:jc w:val="both"/>
        <w:rPr>
          <w:rFonts w:ascii="Times New Roman" w:hAnsi="Times New Roman" w:cs="Times New Roman"/>
          <w:sz w:val="22"/>
          <w:szCs w:val="22"/>
          <w:lang w:val="en-US"/>
        </w:rPr>
      </w:pPr>
      <w:proofErr w:type="gramStart"/>
      <w:r w:rsidRPr="006E681A">
        <w:rPr>
          <w:rFonts w:ascii="Times New Roman" w:hAnsi="Times New Roman" w:cs="Times New Roman"/>
          <w:b/>
          <w:bCs/>
          <w:sz w:val="22"/>
          <w:szCs w:val="22"/>
          <w:lang w:val="en-US"/>
        </w:rPr>
        <w:t>3.-</w:t>
      </w:r>
      <w:proofErr w:type="gramEnd"/>
      <w:r w:rsidRPr="006E681A">
        <w:rPr>
          <w:rFonts w:ascii="Times New Roman" w:hAnsi="Times New Roman" w:cs="Times New Roman"/>
          <w:b/>
          <w:bCs/>
          <w:sz w:val="22"/>
          <w:szCs w:val="22"/>
          <w:lang w:val="en-US"/>
        </w:rPr>
        <w:t xml:space="preserve"> Vicio de falso supuesto de derecho del </w:t>
      </w:r>
      <w:r w:rsidRPr="006E681A">
        <w:rPr>
          <w:rFonts w:ascii="Times New Roman" w:hAnsi="Times New Roman" w:cs="Times New Roman"/>
          <w:b/>
          <w:bCs/>
          <w:i/>
          <w:iCs/>
          <w:sz w:val="22"/>
          <w:szCs w:val="22"/>
          <w:lang w:val="en-US"/>
        </w:rPr>
        <w:t>“reparo fiscal”</w:t>
      </w:r>
      <w:r w:rsidRPr="006E681A">
        <w:rPr>
          <w:rFonts w:ascii="Times New Roman" w:hAnsi="Times New Roman" w:cs="Times New Roman"/>
          <w:b/>
          <w:bCs/>
          <w:sz w:val="22"/>
          <w:szCs w:val="22"/>
          <w:lang w:val="en-US"/>
        </w:rPr>
        <w:t>:</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La recurrente afirma, por otra parte, que el acto impugnado incurre en el vicio de falso supuesto de derecho, al incluir en la base de cálculo de los aportes al Fondo de Ahorro Obligatorio para la Vivienda (FAOV) correspondientes a los años 2003, 2004, 2005, 2006, 2007 y 2008, conceptos no calificados como </w:t>
      </w:r>
      <w:r w:rsidRPr="006E681A">
        <w:rPr>
          <w:rFonts w:ascii="Times New Roman" w:hAnsi="Times New Roman" w:cs="Times New Roman"/>
          <w:i/>
          <w:iCs/>
          <w:sz w:val="22"/>
          <w:szCs w:val="22"/>
          <w:lang w:val="en-US"/>
        </w:rPr>
        <w:t xml:space="preserve">“salario normal” </w:t>
      </w:r>
      <w:r w:rsidRPr="006E681A">
        <w:rPr>
          <w:rFonts w:ascii="Times New Roman" w:hAnsi="Times New Roman" w:cs="Times New Roman"/>
          <w:sz w:val="22"/>
          <w:szCs w:val="22"/>
          <w:lang w:val="en-US"/>
        </w:rPr>
        <w:t>así como otros</w:t>
      </w:r>
      <w:r w:rsidRPr="006E681A">
        <w:rPr>
          <w:rFonts w:ascii="Times New Roman" w:hAnsi="Times New Roman" w:cs="Times New Roman"/>
          <w:i/>
          <w:iCs/>
          <w:sz w:val="22"/>
          <w:szCs w:val="22"/>
          <w:lang w:val="en-US"/>
        </w:rPr>
        <w:t xml:space="preserve"> </w:t>
      </w:r>
      <w:r w:rsidRPr="006E681A">
        <w:rPr>
          <w:rFonts w:ascii="Times New Roman" w:hAnsi="Times New Roman" w:cs="Times New Roman"/>
          <w:sz w:val="22"/>
          <w:szCs w:val="22"/>
          <w:lang w:val="en-US"/>
        </w:rPr>
        <w:t>que ni siquiera son salario sino beneficios contractuales, y advierte que la funcionaria actuante consideró que esos aportes no tenían tope o límite para su cálculo.</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Por su parte, la apoderada judicial del Banco Nacional de Vivienda y Hábitat (BANAVIH) sostiene en su escrito de informes consignado en instancia, que a los efectos de calcular los aportes al Fondo de Ahorro Obligatorio para la Vivienda (FAOV), se tenía que considerar el ingreso total mensual asimilado a salario normal e incluir los conceptos de bono vacacional, utilidades y cualquiera otra bonificación con las características de salarial, regular y permanente.</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En relación a ese planteamiento, cabe destacar que la investigación practicada por el Banco Nacional de Vivienda y Hábitat (BANAVIH) a la recurrente, abarcó los años 2003, 2004, 2005, 2006, 2007 y 2008, resultando una deuda a pagar por el monto de Un Millón Setecientos Un Mil Doscientos Treinta y Nueve Bolívares con Sesenta y Ocho Céntimos (Bs. 1.701.239,68), por concepto de diferencia de aportes dejados de pagar al Fondo de Ahorro Obligatorio para la Vivienda (FAOV), además de liquidarse unos rendimientos hasta febrero de 2009 por la cantidad de Quinientos Cincuenta y Dos Mil Novecientos Veintinueve Bolívares con Treinta y Siete </w:t>
      </w:r>
      <w:r w:rsidRPr="006E681A">
        <w:rPr>
          <w:rFonts w:ascii="Times New Roman" w:hAnsi="Times New Roman" w:cs="Times New Roman"/>
          <w:sz w:val="22"/>
          <w:szCs w:val="22"/>
          <w:lang w:val="en-US"/>
        </w:rPr>
        <w:lastRenderedPageBreak/>
        <w:t>Céntimos (Bs. 552.929,37), lo que justifica la necesidad de precisar cuál es la normativa aplicable durante los citados años, sobre cuyo fundamento se determine posteriormente si la base para el cálculo de los referidos aportes la constituye el “</w:t>
      </w:r>
      <w:r w:rsidRPr="006E681A">
        <w:rPr>
          <w:rFonts w:ascii="Times New Roman" w:hAnsi="Times New Roman" w:cs="Times New Roman"/>
          <w:i/>
          <w:iCs/>
          <w:sz w:val="22"/>
          <w:szCs w:val="22"/>
          <w:lang w:val="en-US"/>
        </w:rPr>
        <w:t>ingreso total mensual</w:t>
      </w:r>
      <w:r w:rsidRPr="006E681A">
        <w:rPr>
          <w:rFonts w:ascii="Times New Roman" w:hAnsi="Times New Roman" w:cs="Times New Roman"/>
          <w:sz w:val="22"/>
          <w:szCs w:val="22"/>
          <w:lang w:val="en-US"/>
        </w:rPr>
        <w:t xml:space="preserve"> o el </w:t>
      </w:r>
      <w:r w:rsidRPr="006E681A">
        <w:rPr>
          <w:rFonts w:ascii="Times New Roman" w:hAnsi="Times New Roman" w:cs="Times New Roman"/>
          <w:i/>
          <w:iCs/>
          <w:sz w:val="22"/>
          <w:szCs w:val="22"/>
          <w:lang w:val="en-US"/>
        </w:rPr>
        <w:t>salario normal”</w:t>
      </w:r>
      <w:r w:rsidRPr="006E681A">
        <w:rPr>
          <w:rFonts w:ascii="Times New Roman" w:hAnsi="Times New Roman" w:cs="Times New Roman"/>
          <w:sz w:val="22"/>
          <w:szCs w:val="22"/>
          <w:lang w:val="en-US"/>
        </w:rPr>
        <w:t>.</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Sobre el particular, la Ley que Regula el Subsistema de Vivienda y Política Habitacional, publicada en Gaceta Oficial de la República Bolivariana de Venezuela Nro. 37.066 el 30 de octubre de 2000, aplicable para los años 2003, 2004 y 2005, </w:t>
      </w:r>
      <w:proofErr w:type="gramStart"/>
      <w:r w:rsidRPr="006E681A">
        <w:rPr>
          <w:rFonts w:ascii="Times New Roman" w:hAnsi="Times New Roman" w:cs="Times New Roman"/>
          <w:sz w:val="22"/>
          <w:szCs w:val="22"/>
          <w:lang w:val="en-US"/>
        </w:rPr>
        <w:t>en</w:t>
      </w:r>
      <w:proofErr w:type="gramEnd"/>
      <w:r w:rsidRPr="006E681A">
        <w:rPr>
          <w:rFonts w:ascii="Times New Roman" w:hAnsi="Times New Roman" w:cs="Times New Roman"/>
          <w:sz w:val="22"/>
          <w:szCs w:val="22"/>
          <w:lang w:val="en-US"/>
        </w:rPr>
        <w:t xml:space="preserve"> su artículo 36 dispuso lo siguiente:</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i/>
          <w:iCs/>
          <w:sz w:val="22"/>
          <w:szCs w:val="22"/>
          <w:lang w:val="en-US"/>
        </w:rPr>
        <w:t>“</w:t>
      </w:r>
      <w:r w:rsidRPr="006E681A">
        <w:rPr>
          <w:rFonts w:ascii="Times New Roman" w:hAnsi="Times New Roman" w:cs="Times New Roman"/>
          <w:b/>
          <w:bCs/>
          <w:i/>
          <w:iCs/>
          <w:sz w:val="22"/>
          <w:szCs w:val="22"/>
          <w:lang w:val="en-US"/>
        </w:rPr>
        <w:t>Artículo 36</w:t>
      </w:r>
      <w:r w:rsidRPr="006E681A">
        <w:rPr>
          <w:rFonts w:ascii="Times New Roman" w:hAnsi="Times New Roman" w:cs="Times New Roman"/>
          <w:i/>
          <w:iCs/>
          <w:sz w:val="22"/>
          <w:szCs w:val="22"/>
          <w:lang w:val="en-US"/>
        </w:rPr>
        <w:t xml:space="preserve">.- El aporte obligatorio de los empleados y obreros estará constituido por el uno por ciento (1%) de su remuneración, y el de los empleadores o patronos estará constituido por el dos por ciento (2%) del monto erogado por igual concepto. Los empleadores o patronos deberán retener las cantidades a los trabajadores, efectuar sus propias cotizaciones y depositar dichos recursos en la cuenta única </w:t>
      </w:r>
      <w:proofErr w:type="gramStart"/>
      <w:r w:rsidRPr="006E681A">
        <w:rPr>
          <w:rFonts w:ascii="Times New Roman" w:hAnsi="Times New Roman" w:cs="Times New Roman"/>
          <w:i/>
          <w:iCs/>
          <w:sz w:val="22"/>
          <w:szCs w:val="22"/>
          <w:lang w:val="en-US"/>
        </w:rPr>
        <w:t>del</w:t>
      </w:r>
      <w:proofErr w:type="gramEnd"/>
      <w:r w:rsidRPr="006E681A">
        <w:rPr>
          <w:rFonts w:ascii="Times New Roman" w:hAnsi="Times New Roman" w:cs="Times New Roman"/>
          <w:i/>
          <w:iCs/>
          <w:sz w:val="22"/>
          <w:szCs w:val="22"/>
          <w:lang w:val="en-US"/>
        </w:rPr>
        <w:t xml:space="preserve"> Fondo Mutual Habitacional a nombre de cada empleado u obrero dentro de los primeros siete (7) días hábiles de cada mes, a través de la institución financiera receptora.</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(…omissis…)</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b/>
          <w:bCs/>
          <w:i/>
          <w:iCs/>
          <w:sz w:val="22"/>
          <w:szCs w:val="22"/>
          <w:lang w:val="en-US"/>
        </w:rPr>
        <w:t xml:space="preserve">La base de cálculo </w:t>
      </w:r>
      <w:proofErr w:type="gramStart"/>
      <w:r w:rsidRPr="006E681A">
        <w:rPr>
          <w:rFonts w:ascii="Times New Roman" w:hAnsi="Times New Roman" w:cs="Times New Roman"/>
          <w:b/>
          <w:bCs/>
          <w:i/>
          <w:iCs/>
          <w:sz w:val="22"/>
          <w:szCs w:val="22"/>
          <w:lang w:val="en-US"/>
        </w:rPr>
        <w:t>del</w:t>
      </w:r>
      <w:proofErr w:type="gramEnd"/>
      <w:r w:rsidRPr="006E681A">
        <w:rPr>
          <w:rFonts w:ascii="Times New Roman" w:hAnsi="Times New Roman" w:cs="Times New Roman"/>
          <w:b/>
          <w:bCs/>
          <w:i/>
          <w:iCs/>
          <w:sz w:val="22"/>
          <w:szCs w:val="22"/>
          <w:lang w:val="en-US"/>
        </w:rPr>
        <w:t xml:space="preserve"> aporte al Fondo Mutual Habitacional será el salario normal</w:t>
      </w:r>
      <w:r w:rsidRPr="006E681A">
        <w:rPr>
          <w:rFonts w:ascii="Times New Roman" w:hAnsi="Times New Roman" w:cs="Times New Roman"/>
          <w:i/>
          <w:iCs/>
          <w:sz w:val="22"/>
          <w:szCs w:val="22"/>
          <w:lang w:val="en-US"/>
        </w:rPr>
        <w:t xml:space="preserve"> que perciba el trabajador de conformidad con lo dispuesto en la Ley Orgánica del Trabajo.</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(…omissis…)”.</w:t>
      </w:r>
      <w:r w:rsidRPr="006E681A">
        <w:rPr>
          <w:rFonts w:ascii="Times New Roman" w:hAnsi="Times New Roman" w:cs="Times New Roman"/>
          <w:i/>
          <w:iCs/>
          <w:sz w:val="22"/>
          <w:szCs w:val="22"/>
          <w:lang w:val="en-US"/>
        </w:rPr>
        <w:t xml:space="preserve"> </w:t>
      </w:r>
      <w:r w:rsidRPr="006E681A">
        <w:rPr>
          <w:rFonts w:ascii="Times New Roman" w:hAnsi="Times New Roman" w:cs="Times New Roman"/>
          <w:sz w:val="22"/>
          <w:szCs w:val="22"/>
          <w:lang w:val="en-US"/>
        </w:rPr>
        <w:t>(Destacado de la Sala).</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De la citada norma se infiere que la base de cálculo de los aportes que deben efectuarse al Fondo de Ahorro Obligatorio para la Vivienda (FAOV) es el salario normal que perciba la trabajadora o el trabajador y que para precisar su alcance debe acudirse a la legislación laboral.</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Así, el artículo 133 de la derogada Ley de Reforma Parcial de la Ley Orgánica del Trabajo, publicada en la Gaceta Oficial de la República de Venezuela Nro. 5.152 </w:t>
      </w:r>
      <w:proofErr w:type="gramStart"/>
      <w:r w:rsidRPr="006E681A">
        <w:rPr>
          <w:rFonts w:ascii="Times New Roman" w:hAnsi="Times New Roman" w:cs="Times New Roman"/>
          <w:sz w:val="22"/>
          <w:szCs w:val="22"/>
          <w:lang w:val="en-US"/>
        </w:rPr>
        <w:t>del</w:t>
      </w:r>
      <w:proofErr w:type="gramEnd"/>
      <w:r w:rsidRPr="006E681A">
        <w:rPr>
          <w:rFonts w:ascii="Times New Roman" w:hAnsi="Times New Roman" w:cs="Times New Roman"/>
          <w:sz w:val="22"/>
          <w:szCs w:val="22"/>
          <w:lang w:val="en-US"/>
        </w:rPr>
        <w:t xml:space="preserve"> 19 de junio de 1997, estableció lo siguiente:</w:t>
      </w:r>
    </w:p>
    <w:p w:rsidR="00603A26" w:rsidRPr="006E681A" w:rsidRDefault="00603A26" w:rsidP="00603A26">
      <w:pPr>
        <w:widowControl w:val="0"/>
        <w:autoSpaceDE w:val="0"/>
        <w:autoSpaceDN w:val="0"/>
        <w:adjustRightInd w:val="0"/>
        <w:spacing w:after="260"/>
        <w:ind w:left="1500" w:right="1400"/>
        <w:rPr>
          <w:rFonts w:ascii="Times New Roman" w:hAnsi="Times New Roman" w:cs="Times New Roman"/>
          <w:sz w:val="22"/>
          <w:szCs w:val="22"/>
          <w:lang w:val="en-US"/>
        </w:rPr>
      </w:pPr>
      <w:r w:rsidRPr="006E681A">
        <w:rPr>
          <w:rFonts w:ascii="Times New Roman" w:hAnsi="Times New Roman" w:cs="Times New Roman"/>
          <w:i/>
          <w:iCs/>
          <w:sz w:val="22"/>
          <w:szCs w:val="22"/>
          <w:lang w:val="en-US"/>
        </w:rPr>
        <w:t>“</w:t>
      </w:r>
      <w:r w:rsidRPr="006E681A">
        <w:rPr>
          <w:rFonts w:ascii="Times New Roman" w:hAnsi="Times New Roman" w:cs="Times New Roman"/>
          <w:b/>
          <w:bCs/>
          <w:i/>
          <w:iCs/>
          <w:sz w:val="22"/>
          <w:szCs w:val="22"/>
          <w:lang w:val="en-US"/>
        </w:rPr>
        <w:t>Artículo 133:</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i/>
          <w:iCs/>
          <w:sz w:val="22"/>
          <w:szCs w:val="22"/>
          <w:lang w:val="en-US"/>
        </w:rPr>
        <w:t>Se entiende por salario la remuneración, provecho o ventaja, cualquiera fuere su denominación o método de cálculo, siempre que pueda evaluarse en efectivo y, entre otros, comprende las comisiones, primas, gratificaciones, participación en los beneficios o utilidades, sobresueldos, bono vacacional, así como recargos por días feriados, horas extras o trabajo nocturno, alimentación y vivienda.</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i/>
          <w:iCs/>
          <w:sz w:val="22"/>
          <w:szCs w:val="22"/>
          <w:lang w:val="en-US"/>
        </w:rPr>
        <w:t>…omissis…</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b/>
          <w:bCs/>
          <w:i/>
          <w:iCs/>
          <w:sz w:val="22"/>
          <w:szCs w:val="22"/>
          <w:lang w:val="en-US"/>
        </w:rPr>
        <w:t>PARÁGRAFO SEGUNDO</w:t>
      </w:r>
      <w:proofErr w:type="gramStart"/>
      <w:r w:rsidRPr="006E681A">
        <w:rPr>
          <w:rFonts w:ascii="Times New Roman" w:hAnsi="Times New Roman" w:cs="Times New Roman"/>
          <w:b/>
          <w:bCs/>
          <w:i/>
          <w:iCs/>
          <w:sz w:val="22"/>
          <w:szCs w:val="22"/>
          <w:lang w:val="en-US"/>
        </w:rPr>
        <w:t>.-</w:t>
      </w:r>
      <w:proofErr w:type="gramEnd"/>
      <w:r w:rsidRPr="006E681A">
        <w:rPr>
          <w:rFonts w:ascii="Times New Roman" w:hAnsi="Times New Roman" w:cs="Times New Roman"/>
          <w:i/>
          <w:iCs/>
          <w:sz w:val="22"/>
          <w:szCs w:val="22"/>
          <w:lang w:val="en-US"/>
        </w:rPr>
        <w:t xml:space="preserve"> A los fines de esta Ley se entiende por </w:t>
      </w:r>
      <w:r w:rsidRPr="006E681A">
        <w:rPr>
          <w:rFonts w:ascii="Times New Roman" w:hAnsi="Times New Roman" w:cs="Times New Roman"/>
          <w:b/>
          <w:bCs/>
          <w:i/>
          <w:iCs/>
          <w:sz w:val="22"/>
          <w:szCs w:val="22"/>
          <w:lang w:val="en-US"/>
        </w:rPr>
        <w:t>salario normal,</w:t>
      </w:r>
      <w:r w:rsidRPr="006E681A">
        <w:rPr>
          <w:rFonts w:ascii="Times New Roman" w:hAnsi="Times New Roman" w:cs="Times New Roman"/>
          <w:i/>
          <w:iCs/>
          <w:sz w:val="22"/>
          <w:szCs w:val="22"/>
          <w:lang w:val="en-US"/>
        </w:rPr>
        <w:t xml:space="preserve"> </w:t>
      </w:r>
      <w:r w:rsidRPr="006E681A">
        <w:rPr>
          <w:rFonts w:ascii="Times New Roman" w:hAnsi="Times New Roman" w:cs="Times New Roman"/>
          <w:b/>
          <w:bCs/>
          <w:i/>
          <w:iCs/>
          <w:sz w:val="22"/>
          <w:szCs w:val="22"/>
          <w:lang w:val="en-US"/>
        </w:rPr>
        <w:t xml:space="preserve">la remuneración devengada por el </w:t>
      </w:r>
      <w:r w:rsidRPr="006E681A">
        <w:rPr>
          <w:rFonts w:ascii="Times New Roman" w:hAnsi="Times New Roman" w:cs="Times New Roman"/>
          <w:b/>
          <w:bCs/>
          <w:i/>
          <w:iCs/>
          <w:sz w:val="22"/>
          <w:szCs w:val="22"/>
          <w:lang w:val="en-US"/>
        </w:rPr>
        <w:lastRenderedPageBreak/>
        <w:t>trabajador en forma regular y permanente por la prestación de su servicio</w:t>
      </w:r>
      <w:r w:rsidRPr="006E681A">
        <w:rPr>
          <w:rFonts w:ascii="Times New Roman" w:hAnsi="Times New Roman" w:cs="Times New Roman"/>
          <w:i/>
          <w:iCs/>
          <w:sz w:val="22"/>
          <w:szCs w:val="22"/>
          <w:lang w:val="en-US"/>
        </w:rPr>
        <w:t xml:space="preserve">. </w:t>
      </w:r>
      <w:r w:rsidRPr="006E681A">
        <w:rPr>
          <w:rFonts w:ascii="Times New Roman" w:hAnsi="Times New Roman" w:cs="Times New Roman"/>
          <w:b/>
          <w:bCs/>
          <w:i/>
          <w:iCs/>
          <w:sz w:val="22"/>
          <w:szCs w:val="22"/>
          <w:lang w:val="en-US"/>
        </w:rPr>
        <w:t>Quedan</w:t>
      </w:r>
      <w:r w:rsidRPr="006E681A">
        <w:rPr>
          <w:rFonts w:ascii="Times New Roman" w:hAnsi="Times New Roman" w:cs="Times New Roman"/>
          <w:i/>
          <w:iCs/>
          <w:sz w:val="22"/>
          <w:szCs w:val="22"/>
          <w:lang w:val="en-US"/>
        </w:rPr>
        <w:t xml:space="preserve"> por tanto </w:t>
      </w:r>
      <w:r w:rsidRPr="006E681A">
        <w:rPr>
          <w:rFonts w:ascii="Times New Roman" w:hAnsi="Times New Roman" w:cs="Times New Roman"/>
          <w:b/>
          <w:bCs/>
          <w:i/>
          <w:iCs/>
          <w:sz w:val="22"/>
          <w:szCs w:val="22"/>
          <w:lang w:val="en-US"/>
        </w:rPr>
        <w:t>excluidas</w:t>
      </w:r>
      <w:r w:rsidRPr="006E681A">
        <w:rPr>
          <w:rFonts w:ascii="Times New Roman" w:hAnsi="Times New Roman" w:cs="Times New Roman"/>
          <w:i/>
          <w:iCs/>
          <w:sz w:val="22"/>
          <w:szCs w:val="22"/>
          <w:lang w:val="en-US"/>
        </w:rPr>
        <w:t xml:space="preserve"> </w:t>
      </w:r>
      <w:proofErr w:type="gramStart"/>
      <w:r w:rsidRPr="006E681A">
        <w:rPr>
          <w:rFonts w:ascii="Times New Roman" w:hAnsi="Times New Roman" w:cs="Times New Roman"/>
          <w:i/>
          <w:iCs/>
          <w:sz w:val="22"/>
          <w:szCs w:val="22"/>
          <w:lang w:val="en-US"/>
        </w:rPr>
        <w:t>del</w:t>
      </w:r>
      <w:proofErr w:type="gramEnd"/>
      <w:r w:rsidRPr="006E681A">
        <w:rPr>
          <w:rFonts w:ascii="Times New Roman" w:hAnsi="Times New Roman" w:cs="Times New Roman"/>
          <w:i/>
          <w:iCs/>
          <w:sz w:val="22"/>
          <w:szCs w:val="22"/>
          <w:lang w:val="en-US"/>
        </w:rPr>
        <w:t xml:space="preserve"> mismo </w:t>
      </w:r>
      <w:r w:rsidRPr="006E681A">
        <w:rPr>
          <w:rFonts w:ascii="Times New Roman" w:hAnsi="Times New Roman" w:cs="Times New Roman"/>
          <w:b/>
          <w:bCs/>
          <w:i/>
          <w:iCs/>
          <w:sz w:val="22"/>
          <w:szCs w:val="22"/>
          <w:lang w:val="en-US"/>
        </w:rPr>
        <w:t>las percepciones de carácter accidental, las derivadas de la prestación de antigüedad y las que esta Ley considere que no tienen carácter salarial</w:t>
      </w:r>
      <w:r w:rsidRPr="006E681A">
        <w:rPr>
          <w:rFonts w:ascii="Times New Roman" w:hAnsi="Times New Roman" w:cs="Times New Roman"/>
          <w:i/>
          <w:iCs/>
          <w:sz w:val="22"/>
          <w:szCs w:val="22"/>
          <w:lang w:val="en-US"/>
        </w:rPr>
        <w:t>.</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i/>
          <w:iCs/>
          <w:sz w:val="22"/>
          <w:szCs w:val="22"/>
          <w:lang w:val="en-US"/>
        </w:rPr>
        <w:t xml:space="preserve">Para la estimación </w:t>
      </w:r>
      <w:proofErr w:type="gramStart"/>
      <w:r w:rsidRPr="006E681A">
        <w:rPr>
          <w:rFonts w:ascii="Times New Roman" w:hAnsi="Times New Roman" w:cs="Times New Roman"/>
          <w:i/>
          <w:iCs/>
          <w:sz w:val="22"/>
          <w:szCs w:val="22"/>
          <w:lang w:val="en-US"/>
        </w:rPr>
        <w:t>del</w:t>
      </w:r>
      <w:proofErr w:type="gramEnd"/>
      <w:r w:rsidRPr="006E681A">
        <w:rPr>
          <w:rFonts w:ascii="Times New Roman" w:hAnsi="Times New Roman" w:cs="Times New Roman"/>
          <w:i/>
          <w:iCs/>
          <w:sz w:val="22"/>
          <w:szCs w:val="22"/>
          <w:lang w:val="en-US"/>
        </w:rPr>
        <w:t xml:space="preserve"> salario normal ninguno de los conceptos que lo integran producirá efectos sobre sí mismo.</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b/>
          <w:bCs/>
          <w:i/>
          <w:iCs/>
          <w:sz w:val="22"/>
          <w:szCs w:val="22"/>
          <w:lang w:val="en-US"/>
        </w:rPr>
        <w:t>PARÁGRAFO TERCERO</w:t>
      </w:r>
      <w:proofErr w:type="gramStart"/>
      <w:r w:rsidRPr="006E681A">
        <w:rPr>
          <w:rFonts w:ascii="Times New Roman" w:hAnsi="Times New Roman" w:cs="Times New Roman"/>
          <w:b/>
          <w:bCs/>
          <w:i/>
          <w:iCs/>
          <w:sz w:val="22"/>
          <w:szCs w:val="22"/>
          <w:lang w:val="en-US"/>
        </w:rPr>
        <w:t>.-</w:t>
      </w:r>
      <w:proofErr w:type="gramEnd"/>
      <w:r w:rsidRPr="006E681A">
        <w:rPr>
          <w:rFonts w:ascii="Times New Roman" w:hAnsi="Times New Roman" w:cs="Times New Roman"/>
          <w:i/>
          <w:iCs/>
          <w:sz w:val="22"/>
          <w:szCs w:val="22"/>
          <w:lang w:val="en-US"/>
        </w:rPr>
        <w:t xml:space="preserve"> Se entienden como </w:t>
      </w:r>
      <w:r w:rsidRPr="006E681A">
        <w:rPr>
          <w:rFonts w:ascii="Times New Roman" w:hAnsi="Times New Roman" w:cs="Times New Roman"/>
          <w:b/>
          <w:bCs/>
          <w:i/>
          <w:iCs/>
          <w:sz w:val="22"/>
          <w:szCs w:val="22"/>
          <w:lang w:val="en-US"/>
        </w:rPr>
        <w:t>beneficios sociales de carácter no remunerativo</w:t>
      </w:r>
      <w:r w:rsidRPr="006E681A">
        <w:rPr>
          <w:rFonts w:ascii="Times New Roman" w:hAnsi="Times New Roman" w:cs="Times New Roman"/>
          <w:i/>
          <w:iCs/>
          <w:sz w:val="22"/>
          <w:szCs w:val="22"/>
          <w:lang w:val="en-US"/>
        </w:rPr>
        <w:t>:</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i/>
          <w:iCs/>
          <w:sz w:val="22"/>
          <w:szCs w:val="22"/>
          <w:lang w:val="en-US"/>
        </w:rPr>
        <w:t>1)</w:t>
      </w:r>
      <w:r w:rsidRPr="006E681A">
        <w:rPr>
          <w:rFonts w:ascii="Times New Roman" w:hAnsi="Times New Roman" w:cs="Times New Roman"/>
          <w:sz w:val="22"/>
          <w:szCs w:val="22"/>
          <w:lang w:val="en-US"/>
        </w:rPr>
        <w:t xml:space="preserve">  </w:t>
      </w:r>
      <w:r w:rsidRPr="006E681A">
        <w:rPr>
          <w:rFonts w:ascii="Times New Roman" w:hAnsi="Times New Roman" w:cs="Times New Roman"/>
          <w:i/>
          <w:iCs/>
          <w:sz w:val="22"/>
          <w:szCs w:val="22"/>
          <w:lang w:val="en-US"/>
        </w:rPr>
        <w:t>Los servicios de comedor, provisión de comidas y alimentos y de guarderías infantiles.</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i/>
          <w:iCs/>
          <w:sz w:val="22"/>
          <w:szCs w:val="22"/>
          <w:lang w:val="en-US"/>
        </w:rPr>
        <w:t>2)</w:t>
      </w:r>
      <w:r w:rsidRPr="006E681A">
        <w:rPr>
          <w:rFonts w:ascii="Times New Roman" w:hAnsi="Times New Roman" w:cs="Times New Roman"/>
          <w:sz w:val="22"/>
          <w:szCs w:val="22"/>
          <w:lang w:val="en-US"/>
        </w:rPr>
        <w:t xml:space="preserve">  </w:t>
      </w:r>
      <w:r w:rsidRPr="006E681A">
        <w:rPr>
          <w:rFonts w:ascii="Times New Roman" w:hAnsi="Times New Roman" w:cs="Times New Roman"/>
          <w:i/>
          <w:iCs/>
          <w:sz w:val="22"/>
          <w:szCs w:val="22"/>
          <w:lang w:val="en-US"/>
        </w:rPr>
        <w:t>Los reintegros de gastos médicos, farmacéuticos y odontológicos.</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i/>
          <w:iCs/>
          <w:sz w:val="22"/>
          <w:szCs w:val="22"/>
          <w:lang w:val="en-US"/>
        </w:rPr>
        <w:t>3)</w:t>
      </w:r>
      <w:r w:rsidRPr="006E681A">
        <w:rPr>
          <w:rFonts w:ascii="Times New Roman" w:hAnsi="Times New Roman" w:cs="Times New Roman"/>
          <w:sz w:val="22"/>
          <w:szCs w:val="22"/>
          <w:lang w:val="en-US"/>
        </w:rPr>
        <w:t xml:space="preserve">  </w:t>
      </w:r>
      <w:r w:rsidRPr="006E681A">
        <w:rPr>
          <w:rFonts w:ascii="Times New Roman" w:hAnsi="Times New Roman" w:cs="Times New Roman"/>
          <w:i/>
          <w:iCs/>
          <w:sz w:val="22"/>
          <w:szCs w:val="22"/>
          <w:lang w:val="en-US"/>
        </w:rPr>
        <w:t>Las provisiones de ropa de trabajo.</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i/>
          <w:iCs/>
          <w:sz w:val="22"/>
          <w:szCs w:val="22"/>
          <w:lang w:val="en-US"/>
        </w:rPr>
        <w:t>4)</w:t>
      </w:r>
      <w:r w:rsidRPr="006E681A">
        <w:rPr>
          <w:rFonts w:ascii="Times New Roman" w:hAnsi="Times New Roman" w:cs="Times New Roman"/>
          <w:sz w:val="22"/>
          <w:szCs w:val="22"/>
          <w:lang w:val="en-US"/>
        </w:rPr>
        <w:t xml:space="preserve">  </w:t>
      </w:r>
      <w:r w:rsidRPr="006E681A">
        <w:rPr>
          <w:rFonts w:ascii="Times New Roman" w:hAnsi="Times New Roman" w:cs="Times New Roman"/>
          <w:i/>
          <w:iCs/>
          <w:sz w:val="22"/>
          <w:szCs w:val="22"/>
          <w:lang w:val="en-US"/>
        </w:rPr>
        <w:t>Las provisiones de útiles escolares y de juguetes.</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i/>
          <w:iCs/>
          <w:sz w:val="22"/>
          <w:szCs w:val="22"/>
          <w:lang w:val="en-US"/>
        </w:rPr>
        <w:t>5)</w:t>
      </w:r>
      <w:r w:rsidRPr="006E681A">
        <w:rPr>
          <w:rFonts w:ascii="Times New Roman" w:hAnsi="Times New Roman" w:cs="Times New Roman"/>
          <w:sz w:val="22"/>
          <w:szCs w:val="22"/>
          <w:lang w:val="en-US"/>
        </w:rPr>
        <w:t xml:space="preserve">  </w:t>
      </w:r>
      <w:r w:rsidRPr="006E681A">
        <w:rPr>
          <w:rFonts w:ascii="Times New Roman" w:hAnsi="Times New Roman" w:cs="Times New Roman"/>
          <w:i/>
          <w:iCs/>
          <w:sz w:val="22"/>
          <w:szCs w:val="22"/>
          <w:lang w:val="en-US"/>
        </w:rPr>
        <w:t>El otorgamiento de becas o pago de cursos de capacitación o de especialización.</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i/>
          <w:iCs/>
          <w:sz w:val="22"/>
          <w:szCs w:val="22"/>
          <w:lang w:val="en-US"/>
        </w:rPr>
        <w:t>6)</w:t>
      </w:r>
      <w:r w:rsidRPr="006E681A">
        <w:rPr>
          <w:rFonts w:ascii="Times New Roman" w:hAnsi="Times New Roman" w:cs="Times New Roman"/>
          <w:sz w:val="22"/>
          <w:szCs w:val="22"/>
          <w:lang w:val="en-US"/>
        </w:rPr>
        <w:t xml:space="preserve">  </w:t>
      </w:r>
      <w:r w:rsidRPr="006E681A">
        <w:rPr>
          <w:rFonts w:ascii="Times New Roman" w:hAnsi="Times New Roman" w:cs="Times New Roman"/>
          <w:i/>
          <w:iCs/>
          <w:sz w:val="22"/>
          <w:szCs w:val="22"/>
          <w:lang w:val="en-US"/>
        </w:rPr>
        <w:t>El pago de gastos funerarios.</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i/>
          <w:iCs/>
          <w:sz w:val="22"/>
          <w:szCs w:val="22"/>
          <w:lang w:val="en-US"/>
        </w:rPr>
        <w:t xml:space="preserve">Los beneficios sociales no serán considerados </w:t>
      </w:r>
      <w:proofErr w:type="gramStart"/>
      <w:r w:rsidRPr="006E681A">
        <w:rPr>
          <w:rFonts w:ascii="Times New Roman" w:hAnsi="Times New Roman" w:cs="Times New Roman"/>
          <w:i/>
          <w:iCs/>
          <w:sz w:val="22"/>
          <w:szCs w:val="22"/>
          <w:lang w:val="en-US"/>
        </w:rPr>
        <w:t>como</w:t>
      </w:r>
      <w:proofErr w:type="gramEnd"/>
      <w:r w:rsidRPr="006E681A">
        <w:rPr>
          <w:rFonts w:ascii="Times New Roman" w:hAnsi="Times New Roman" w:cs="Times New Roman"/>
          <w:i/>
          <w:iCs/>
          <w:sz w:val="22"/>
          <w:szCs w:val="22"/>
          <w:lang w:val="en-US"/>
        </w:rPr>
        <w:t xml:space="preserve"> salario, </w:t>
      </w:r>
      <w:r w:rsidRPr="006E681A">
        <w:rPr>
          <w:rFonts w:ascii="Times New Roman" w:hAnsi="Times New Roman" w:cs="Times New Roman"/>
          <w:b/>
          <w:bCs/>
          <w:i/>
          <w:iCs/>
          <w:sz w:val="22"/>
          <w:szCs w:val="22"/>
          <w:lang w:val="en-US"/>
        </w:rPr>
        <w:t>salvo que en las convenciones colectivas o contratos individuales de trabajo, se hubiere estipulado lo contrario</w:t>
      </w:r>
      <w:r w:rsidRPr="006E681A">
        <w:rPr>
          <w:rFonts w:ascii="Times New Roman" w:hAnsi="Times New Roman" w:cs="Times New Roman"/>
          <w:i/>
          <w:iCs/>
          <w:sz w:val="22"/>
          <w:szCs w:val="22"/>
          <w:lang w:val="en-US"/>
        </w:rPr>
        <w:t>.</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w:t>
      </w:r>
      <w:r w:rsidRPr="006E681A">
        <w:rPr>
          <w:rFonts w:ascii="Times New Roman" w:hAnsi="Times New Roman" w:cs="Times New Roman"/>
          <w:i/>
          <w:iCs/>
          <w:sz w:val="22"/>
          <w:szCs w:val="22"/>
          <w:lang w:val="en-US"/>
        </w:rPr>
        <w:t xml:space="preserve">” </w:t>
      </w:r>
      <w:r w:rsidRPr="006E681A">
        <w:rPr>
          <w:rFonts w:ascii="Times New Roman" w:hAnsi="Times New Roman" w:cs="Times New Roman"/>
          <w:sz w:val="22"/>
          <w:szCs w:val="22"/>
          <w:lang w:val="en-US"/>
        </w:rPr>
        <w:t>(Destacado de esta Sala)</w:t>
      </w:r>
      <w:r w:rsidRPr="006E681A">
        <w:rPr>
          <w:rFonts w:ascii="Times New Roman" w:hAnsi="Times New Roman" w:cs="Times New Roman"/>
          <w:i/>
          <w:iCs/>
          <w:sz w:val="22"/>
          <w:szCs w:val="22"/>
          <w:lang w:val="en-US"/>
        </w:rPr>
        <w:t>.</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El dispositivo normativo antes transcrito, pone de manifiesto que el salario normal será toda remuneración obtenida por la trabajadora o el trabajador en forma regular e invariable como contraprestación por el servicio proporcionado, excluidos los beneficios remunerativos que se reciban en forma ocasional</w:t>
      </w:r>
      <w:r w:rsidRPr="006E681A">
        <w:rPr>
          <w:rFonts w:ascii="Times New Roman" w:hAnsi="Times New Roman" w:cs="Times New Roman"/>
          <w:i/>
          <w:iCs/>
          <w:sz w:val="22"/>
          <w:szCs w:val="22"/>
          <w:lang w:val="en-US"/>
        </w:rPr>
        <w:t xml:space="preserve"> </w:t>
      </w:r>
      <w:r w:rsidRPr="006E681A">
        <w:rPr>
          <w:rFonts w:ascii="Times New Roman" w:hAnsi="Times New Roman" w:cs="Times New Roman"/>
          <w:sz w:val="22"/>
          <w:szCs w:val="22"/>
          <w:lang w:val="en-US"/>
        </w:rPr>
        <w:t>y los que carezcan del carácter salarial, salvo que las convenciones o contrataciones colectivas o individuales estimen que alguna remuneración tenga injerencia salarial.</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Sobre este mismo aspecto, la Sala de Casación Social de este Máximo Tribunal en repetidas ocasiones ha determinado como salario normal la remuneración habitual que con carácter regular y permanente percibe la trabajadora o el trabajador por la prestación de sus servicios, pudiendo ser en dinero o en especie, pues lo importante es su regularidad y periodicidad. (</w:t>
      </w:r>
      <w:r w:rsidRPr="006E681A">
        <w:rPr>
          <w:rFonts w:ascii="Times New Roman" w:hAnsi="Times New Roman" w:cs="Times New Roman"/>
          <w:i/>
          <w:iCs/>
          <w:sz w:val="22"/>
          <w:szCs w:val="22"/>
          <w:lang w:val="en-US"/>
        </w:rPr>
        <w:t>Vid.</w:t>
      </w:r>
      <w:r w:rsidRPr="006E681A">
        <w:rPr>
          <w:rFonts w:ascii="Times New Roman" w:hAnsi="Times New Roman" w:cs="Times New Roman"/>
          <w:sz w:val="22"/>
          <w:szCs w:val="22"/>
          <w:lang w:val="en-US"/>
        </w:rPr>
        <w:t xml:space="preserve"> sentencias Nros. 106 del 10-05-2000, caso:</w:t>
      </w:r>
      <w:r w:rsidRPr="006E681A">
        <w:rPr>
          <w:rFonts w:ascii="Times New Roman" w:hAnsi="Times New Roman" w:cs="Times New Roman"/>
          <w:i/>
          <w:iCs/>
          <w:sz w:val="22"/>
          <w:szCs w:val="22"/>
          <w:lang w:val="en-US"/>
        </w:rPr>
        <w:t xml:space="preserve"> Luis Rafael Scharbay Rodríguez Vs. Gaseosas Orientales, S.A.</w:t>
      </w:r>
      <w:r w:rsidRPr="006E681A">
        <w:rPr>
          <w:rFonts w:ascii="Times New Roman" w:hAnsi="Times New Roman" w:cs="Times New Roman"/>
          <w:sz w:val="22"/>
          <w:szCs w:val="22"/>
          <w:lang w:val="en-US"/>
        </w:rPr>
        <w:t xml:space="preserve">, 489 del 30 de julio de 2003, caso: </w:t>
      </w:r>
      <w:r w:rsidRPr="006E681A">
        <w:rPr>
          <w:rFonts w:ascii="Times New Roman" w:hAnsi="Times New Roman" w:cs="Times New Roman"/>
          <w:i/>
          <w:iCs/>
          <w:sz w:val="22"/>
          <w:szCs w:val="22"/>
          <w:lang w:val="en-US"/>
        </w:rPr>
        <w:t>Febe Briceño de Haddad Vs. Banco Mercantil C.A. S.A.C.A., 1901 de fecha 16 de noviembre de 2006, caso: Antonio Testa Dominicancela Vs. la sociedad mercantil Coca-Cola Femsa de Venezuela, S.A.</w:t>
      </w:r>
      <w:r w:rsidRPr="006E681A">
        <w:rPr>
          <w:rFonts w:ascii="Times New Roman" w:hAnsi="Times New Roman" w:cs="Times New Roman"/>
          <w:sz w:val="22"/>
          <w:szCs w:val="22"/>
          <w:lang w:val="en-US"/>
        </w:rPr>
        <w:t xml:space="preserve"> y</w:t>
      </w:r>
      <w:r w:rsidRPr="006E681A">
        <w:rPr>
          <w:rFonts w:ascii="Times New Roman" w:hAnsi="Times New Roman" w:cs="Times New Roman"/>
          <w:i/>
          <w:iCs/>
          <w:sz w:val="22"/>
          <w:szCs w:val="22"/>
          <w:lang w:val="en-US"/>
        </w:rPr>
        <w:t xml:space="preserve"> </w:t>
      </w:r>
      <w:r w:rsidRPr="006E681A">
        <w:rPr>
          <w:rFonts w:ascii="Times New Roman" w:hAnsi="Times New Roman" w:cs="Times New Roman"/>
          <w:sz w:val="22"/>
          <w:szCs w:val="22"/>
          <w:lang w:val="en-US"/>
        </w:rPr>
        <w:t xml:space="preserve">1058 del 10 de octubre de 2012, caso: </w:t>
      </w:r>
      <w:r w:rsidRPr="006E681A">
        <w:rPr>
          <w:rFonts w:ascii="Times New Roman" w:hAnsi="Times New Roman" w:cs="Times New Roman"/>
          <w:i/>
          <w:iCs/>
          <w:sz w:val="22"/>
          <w:szCs w:val="22"/>
          <w:lang w:val="en-US"/>
        </w:rPr>
        <w:t>Zoila García de Moreno Vs. Contraloría del Estado Anzoátegui).</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Por su parte, la Ley del Régimen Prestacional de Vivienda y Hábitat, publicada en la </w:t>
      </w:r>
      <w:r w:rsidRPr="006E681A">
        <w:rPr>
          <w:rFonts w:ascii="Times New Roman" w:hAnsi="Times New Roman" w:cs="Times New Roman"/>
          <w:sz w:val="22"/>
          <w:szCs w:val="22"/>
          <w:lang w:val="en-US"/>
        </w:rPr>
        <w:lastRenderedPageBreak/>
        <w:t>Gaceta Oficial de la República Bolivariana de Venezuela Nro. 38.204 el 8 de junio de 2005 y la Ley del Régimen Prestacional de Vivienda y Hábitat,</w:t>
      </w:r>
      <w:r w:rsidRPr="006E681A">
        <w:rPr>
          <w:rFonts w:ascii="Times New Roman" w:hAnsi="Times New Roman" w:cs="Times New Roman"/>
          <w:i/>
          <w:iCs/>
          <w:sz w:val="22"/>
          <w:szCs w:val="22"/>
          <w:lang w:val="en-US"/>
        </w:rPr>
        <w:t xml:space="preserve"> </w:t>
      </w:r>
      <w:r w:rsidRPr="006E681A">
        <w:rPr>
          <w:rFonts w:ascii="Times New Roman" w:hAnsi="Times New Roman" w:cs="Times New Roman"/>
          <w:sz w:val="22"/>
          <w:szCs w:val="22"/>
          <w:lang w:val="en-US"/>
        </w:rPr>
        <w:t xml:space="preserve">publicada en la Gaceta Oficial de la República Bolivariana de Venezuela Nro. 38.591 </w:t>
      </w:r>
      <w:proofErr w:type="gramStart"/>
      <w:r w:rsidRPr="006E681A">
        <w:rPr>
          <w:rFonts w:ascii="Times New Roman" w:hAnsi="Times New Roman" w:cs="Times New Roman"/>
          <w:sz w:val="22"/>
          <w:szCs w:val="22"/>
          <w:lang w:val="en-US"/>
        </w:rPr>
        <w:t>del</w:t>
      </w:r>
      <w:proofErr w:type="gramEnd"/>
      <w:r w:rsidRPr="006E681A">
        <w:rPr>
          <w:rFonts w:ascii="Times New Roman" w:hAnsi="Times New Roman" w:cs="Times New Roman"/>
          <w:sz w:val="22"/>
          <w:szCs w:val="22"/>
          <w:lang w:val="en-US"/>
        </w:rPr>
        <w:t xml:space="preserve"> 26 de diciembre de 2006, aplicables a los aportes debidos para los años 2006, 2007 y 2008, en su artículo 172, de similar redacción, preceptúan lo siguiente:</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i/>
          <w:iCs/>
          <w:sz w:val="22"/>
          <w:szCs w:val="22"/>
          <w:lang w:val="en-US"/>
        </w:rPr>
        <w:t>“</w:t>
      </w:r>
      <w:r w:rsidRPr="006E681A">
        <w:rPr>
          <w:rFonts w:ascii="Times New Roman" w:hAnsi="Times New Roman" w:cs="Times New Roman"/>
          <w:b/>
          <w:bCs/>
          <w:i/>
          <w:iCs/>
          <w:sz w:val="22"/>
          <w:szCs w:val="22"/>
          <w:lang w:val="en-US"/>
        </w:rPr>
        <w:t>Artículo 172</w:t>
      </w:r>
      <w:r w:rsidRPr="006E681A">
        <w:rPr>
          <w:rFonts w:ascii="Times New Roman" w:hAnsi="Times New Roman" w:cs="Times New Roman"/>
          <w:i/>
          <w:iCs/>
          <w:sz w:val="22"/>
          <w:szCs w:val="22"/>
          <w:lang w:val="en-US"/>
        </w:rPr>
        <w:t xml:space="preserve">: La cuenta de ahorro obligatorio para la vivienda de cada trabajador en el Fondo, </w:t>
      </w:r>
      <w:proofErr w:type="gramStart"/>
      <w:r w:rsidRPr="006E681A">
        <w:rPr>
          <w:rFonts w:ascii="Times New Roman" w:hAnsi="Times New Roman" w:cs="Times New Roman"/>
          <w:i/>
          <w:iCs/>
          <w:sz w:val="22"/>
          <w:szCs w:val="22"/>
          <w:lang w:val="en-US"/>
        </w:rPr>
        <w:t>como</w:t>
      </w:r>
      <w:proofErr w:type="gramEnd"/>
      <w:r w:rsidRPr="006E681A">
        <w:rPr>
          <w:rFonts w:ascii="Times New Roman" w:hAnsi="Times New Roman" w:cs="Times New Roman"/>
          <w:i/>
          <w:iCs/>
          <w:sz w:val="22"/>
          <w:szCs w:val="22"/>
          <w:lang w:val="en-US"/>
        </w:rPr>
        <w:t xml:space="preserve"> cuenta de ahorro individual, reflejará desde la fecha inicial de incorporación del trabajador al ahorro habitacional:</w:t>
      </w:r>
    </w:p>
    <w:p w:rsidR="00603A26" w:rsidRPr="006E681A" w:rsidRDefault="00603A26" w:rsidP="00603A26">
      <w:pPr>
        <w:widowControl w:val="0"/>
        <w:autoSpaceDE w:val="0"/>
        <w:autoSpaceDN w:val="0"/>
        <w:adjustRightInd w:val="0"/>
        <w:spacing w:after="260"/>
        <w:ind w:left="1500" w:right="1400" w:firstLine="940"/>
        <w:jc w:val="both"/>
        <w:rPr>
          <w:rFonts w:ascii="Times New Roman" w:hAnsi="Times New Roman" w:cs="Times New Roman"/>
          <w:sz w:val="22"/>
          <w:szCs w:val="22"/>
          <w:lang w:val="en-US"/>
        </w:rPr>
      </w:pPr>
      <w:r w:rsidRPr="006E681A">
        <w:rPr>
          <w:rFonts w:ascii="Times New Roman" w:hAnsi="Times New Roman" w:cs="Times New Roman"/>
          <w:i/>
          <w:iCs/>
          <w:sz w:val="22"/>
          <w:szCs w:val="22"/>
          <w:lang w:val="en-US"/>
        </w:rPr>
        <w:t xml:space="preserve">1. </w:t>
      </w:r>
      <w:r w:rsidRPr="006E681A">
        <w:rPr>
          <w:rFonts w:ascii="Times New Roman" w:hAnsi="Times New Roman" w:cs="Times New Roman"/>
          <w:b/>
          <w:bCs/>
          <w:i/>
          <w:iCs/>
          <w:sz w:val="22"/>
          <w:szCs w:val="22"/>
          <w:lang w:val="en-US"/>
        </w:rPr>
        <w:t>El aporte mensual en la cuenta de cada trabajador equivalente al tres por ciento (3%) del ingreso total mensual</w:t>
      </w:r>
      <w:r w:rsidRPr="006E681A">
        <w:rPr>
          <w:rFonts w:ascii="Times New Roman" w:hAnsi="Times New Roman" w:cs="Times New Roman"/>
          <w:i/>
          <w:iCs/>
          <w:sz w:val="22"/>
          <w:szCs w:val="22"/>
          <w:lang w:val="en-US"/>
        </w:rPr>
        <w:t>, desglosado por cada uno de los aportes de ahorro obligatorio realizado por el trabajador y por cada una de las contribuciones obligatorias del patrono al ahorro del trabajador.</w:t>
      </w:r>
    </w:p>
    <w:p w:rsidR="00603A26" w:rsidRPr="006E681A" w:rsidRDefault="00603A26" w:rsidP="00603A26">
      <w:pPr>
        <w:widowControl w:val="0"/>
        <w:autoSpaceDE w:val="0"/>
        <w:autoSpaceDN w:val="0"/>
        <w:adjustRightInd w:val="0"/>
        <w:spacing w:after="260"/>
        <w:ind w:left="1500" w:right="1400" w:firstLine="940"/>
        <w:jc w:val="both"/>
        <w:rPr>
          <w:rFonts w:ascii="Times New Roman" w:hAnsi="Times New Roman" w:cs="Times New Roman"/>
          <w:sz w:val="22"/>
          <w:szCs w:val="22"/>
          <w:lang w:val="en-US"/>
        </w:rPr>
      </w:pPr>
      <w:r w:rsidRPr="006E681A">
        <w:rPr>
          <w:rFonts w:ascii="Times New Roman" w:hAnsi="Times New Roman" w:cs="Times New Roman"/>
          <w:i/>
          <w:iCs/>
          <w:sz w:val="22"/>
          <w:szCs w:val="22"/>
          <w:lang w:val="en-US"/>
        </w:rPr>
        <w:t xml:space="preserve">2. </w:t>
      </w:r>
      <w:r w:rsidRPr="006E681A">
        <w:rPr>
          <w:rFonts w:ascii="Times New Roman" w:hAnsi="Times New Roman" w:cs="Times New Roman"/>
          <w:b/>
          <w:bCs/>
          <w:i/>
          <w:iCs/>
          <w:sz w:val="22"/>
          <w:szCs w:val="22"/>
          <w:lang w:val="en-US"/>
        </w:rPr>
        <w:t>Los rendimientos generados mensualmente</w:t>
      </w:r>
      <w:r w:rsidRPr="006E681A">
        <w:rPr>
          <w:rFonts w:ascii="Times New Roman" w:hAnsi="Times New Roman" w:cs="Times New Roman"/>
          <w:i/>
          <w:iCs/>
          <w:sz w:val="22"/>
          <w:szCs w:val="22"/>
          <w:lang w:val="en-US"/>
        </w:rPr>
        <w:t xml:space="preserve"> por las colocaciones e inversiones </w:t>
      </w:r>
      <w:proofErr w:type="gramStart"/>
      <w:r w:rsidRPr="006E681A">
        <w:rPr>
          <w:rFonts w:ascii="Times New Roman" w:hAnsi="Times New Roman" w:cs="Times New Roman"/>
          <w:i/>
          <w:iCs/>
          <w:sz w:val="22"/>
          <w:szCs w:val="22"/>
          <w:lang w:val="en-US"/>
        </w:rPr>
        <w:t>del</w:t>
      </w:r>
      <w:proofErr w:type="gramEnd"/>
      <w:r w:rsidRPr="006E681A">
        <w:rPr>
          <w:rFonts w:ascii="Times New Roman" w:hAnsi="Times New Roman" w:cs="Times New Roman"/>
          <w:i/>
          <w:iCs/>
          <w:sz w:val="22"/>
          <w:szCs w:val="22"/>
          <w:lang w:val="en-US"/>
        </w:rPr>
        <w:t xml:space="preserve"> Fondo, asignados al trabajador, desde la fecha inicial de su incorporación al ahorro habitacional.</w:t>
      </w:r>
    </w:p>
    <w:p w:rsidR="00603A26" w:rsidRPr="006E681A" w:rsidRDefault="00603A26" w:rsidP="00603A26">
      <w:pPr>
        <w:widowControl w:val="0"/>
        <w:autoSpaceDE w:val="0"/>
        <w:autoSpaceDN w:val="0"/>
        <w:adjustRightInd w:val="0"/>
        <w:spacing w:after="260"/>
        <w:ind w:left="1500" w:right="140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(…omissis…)”.</w:t>
      </w:r>
      <w:r w:rsidRPr="006E681A">
        <w:rPr>
          <w:rFonts w:ascii="Times New Roman" w:hAnsi="Times New Roman" w:cs="Times New Roman"/>
          <w:i/>
          <w:iCs/>
          <w:sz w:val="22"/>
          <w:szCs w:val="22"/>
          <w:lang w:val="en-US"/>
        </w:rPr>
        <w:t xml:space="preserve"> </w:t>
      </w:r>
      <w:r w:rsidRPr="006E681A">
        <w:rPr>
          <w:rFonts w:ascii="Times New Roman" w:hAnsi="Times New Roman" w:cs="Times New Roman"/>
          <w:sz w:val="22"/>
          <w:szCs w:val="22"/>
          <w:lang w:val="en-US"/>
        </w:rPr>
        <w:t>(Destacado de la Sala).</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Del aludido artículo se desprende que el legislador asumió como base de cálculo de los aportes que deben realizar tanto las patronas y los patronos como las trabajadoras y los trabajadores al Fondo de Ahorro Obligatorio para la Vivienda (FAOV), la totalidad de los ingresos que devenguen las trabajadoras o los trabajadores mensualmente.</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En conexión con lo expresado, el artículo 30 </w:t>
      </w:r>
      <w:proofErr w:type="gramStart"/>
      <w:r w:rsidRPr="006E681A">
        <w:rPr>
          <w:rFonts w:ascii="Times New Roman" w:hAnsi="Times New Roman" w:cs="Times New Roman"/>
          <w:sz w:val="22"/>
          <w:szCs w:val="22"/>
          <w:lang w:val="en-US"/>
        </w:rPr>
        <w:t>del</w:t>
      </w:r>
      <w:proofErr w:type="gramEnd"/>
      <w:r w:rsidRPr="006E681A">
        <w:rPr>
          <w:rFonts w:ascii="Times New Roman" w:hAnsi="Times New Roman" w:cs="Times New Roman"/>
          <w:sz w:val="22"/>
          <w:szCs w:val="22"/>
          <w:lang w:val="en-US"/>
        </w:rPr>
        <w:t xml:space="preserve"> Decreto Nro. 6.072 del 14 de mayo de 2008, con Rango, Valor y Fuerza de Ley del Régimen Prestacional de Vivienda y Hábitat,</w:t>
      </w:r>
      <w:r w:rsidRPr="006E681A">
        <w:rPr>
          <w:rFonts w:ascii="Times New Roman" w:hAnsi="Times New Roman" w:cs="Times New Roman"/>
          <w:i/>
          <w:iCs/>
          <w:sz w:val="22"/>
          <w:szCs w:val="22"/>
          <w:lang w:val="en-US"/>
        </w:rPr>
        <w:t xml:space="preserve"> </w:t>
      </w:r>
      <w:r w:rsidRPr="006E681A">
        <w:rPr>
          <w:rFonts w:ascii="Times New Roman" w:hAnsi="Times New Roman" w:cs="Times New Roman"/>
          <w:sz w:val="22"/>
          <w:szCs w:val="22"/>
          <w:lang w:val="en-US"/>
        </w:rPr>
        <w:t xml:space="preserve">publicado en la Gaceta Oficial de la República Bolivariana de Venezuela Nro. 5.889 Extraordinario del 31 de </w:t>
      </w:r>
      <w:proofErr w:type="gramStart"/>
      <w:r w:rsidRPr="006E681A">
        <w:rPr>
          <w:rFonts w:ascii="Times New Roman" w:hAnsi="Times New Roman" w:cs="Times New Roman"/>
          <w:sz w:val="22"/>
          <w:szCs w:val="22"/>
          <w:lang w:val="en-US"/>
        </w:rPr>
        <w:t>julio</w:t>
      </w:r>
      <w:proofErr w:type="gramEnd"/>
      <w:r w:rsidRPr="006E681A">
        <w:rPr>
          <w:rFonts w:ascii="Times New Roman" w:hAnsi="Times New Roman" w:cs="Times New Roman"/>
          <w:sz w:val="22"/>
          <w:szCs w:val="22"/>
          <w:lang w:val="en-US"/>
        </w:rPr>
        <w:t xml:space="preserve"> de 2008, indica:</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i/>
          <w:iCs/>
          <w:sz w:val="22"/>
          <w:szCs w:val="22"/>
          <w:lang w:val="en-US"/>
        </w:rPr>
        <w:t>“</w:t>
      </w:r>
      <w:r w:rsidRPr="006E681A">
        <w:rPr>
          <w:rFonts w:ascii="Times New Roman" w:hAnsi="Times New Roman" w:cs="Times New Roman"/>
          <w:b/>
          <w:bCs/>
          <w:i/>
          <w:iCs/>
          <w:sz w:val="22"/>
          <w:szCs w:val="22"/>
          <w:lang w:val="en-US"/>
        </w:rPr>
        <w:t>Artículo 30.</w:t>
      </w:r>
      <w:r w:rsidRPr="006E681A">
        <w:rPr>
          <w:rFonts w:ascii="Times New Roman" w:hAnsi="Times New Roman" w:cs="Times New Roman"/>
          <w:i/>
          <w:iCs/>
          <w:sz w:val="22"/>
          <w:szCs w:val="22"/>
          <w:lang w:val="en-US"/>
        </w:rPr>
        <w:t xml:space="preserve"> El ahorro obligatorio de cada trabajadora o trabajador se registrará en una cuenta individual en </w:t>
      </w:r>
      <w:proofErr w:type="gramStart"/>
      <w:r w:rsidRPr="006E681A">
        <w:rPr>
          <w:rFonts w:ascii="Times New Roman" w:hAnsi="Times New Roman" w:cs="Times New Roman"/>
          <w:i/>
          <w:iCs/>
          <w:sz w:val="22"/>
          <w:szCs w:val="22"/>
          <w:lang w:val="en-US"/>
        </w:rPr>
        <w:t>este</w:t>
      </w:r>
      <w:proofErr w:type="gramEnd"/>
      <w:r w:rsidRPr="006E681A">
        <w:rPr>
          <w:rFonts w:ascii="Times New Roman" w:hAnsi="Times New Roman" w:cs="Times New Roman"/>
          <w:i/>
          <w:iCs/>
          <w:sz w:val="22"/>
          <w:szCs w:val="22"/>
          <w:lang w:val="en-US"/>
        </w:rPr>
        <w:t xml:space="preserve"> Fondo y reflejará desde la fecha inicial de su incorporación:</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i/>
          <w:iCs/>
          <w:sz w:val="22"/>
          <w:szCs w:val="22"/>
          <w:lang w:val="en-US"/>
        </w:rPr>
        <w:t xml:space="preserve">1. El aporte mensual en la cuenta de cada trabajadora o trabajador equivalente al tres por ciento (3%) de su </w:t>
      </w:r>
      <w:r w:rsidRPr="006E681A">
        <w:rPr>
          <w:rFonts w:ascii="Times New Roman" w:hAnsi="Times New Roman" w:cs="Times New Roman"/>
          <w:b/>
          <w:bCs/>
          <w:i/>
          <w:iCs/>
          <w:sz w:val="22"/>
          <w:szCs w:val="22"/>
          <w:lang w:val="en-US"/>
        </w:rPr>
        <w:t>salario integral</w:t>
      </w:r>
      <w:r w:rsidRPr="006E681A">
        <w:rPr>
          <w:rFonts w:ascii="Times New Roman" w:hAnsi="Times New Roman" w:cs="Times New Roman"/>
          <w:i/>
          <w:iCs/>
          <w:sz w:val="22"/>
          <w:szCs w:val="22"/>
          <w:lang w:val="en-US"/>
        </w:rPr>
        <w:t>, indicando por separado: los ahorros obligatorios del trabajador, equivalentes a un tercio (1/3) del aporte mensual y los aportes obligatorios de los patronos a la cuenta de cada trabajador, equivalente a dos tercios (2/3) del aporte mensual.</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i/>
          <w:iCs/>
          <w:sz w:val="22"/>
          <w:szCs w:val="22"/>
          <w:lang w:val="en-US"/>
        </w:rPr>
        <w:t xml:space="preserve">2. Los ingresos generados por la inversión financiera </w:t>
      </w:r>
      <w:proofErr w:type="gramStart"/>
      <w:r w:rsidRPr="006E681A">
        <w:rPr>
          <w:rFonts w:ascii="Times New Roman" w:hAnsi="Times New Roman" w:cs="Times New Roman"/>
          <w:i/>
          <w:iCs/>
          <w:sz w:val="22"/>
          <w:szCs w:val="22"/>
          <w:lang w:val="en-US"/>
        </w:rPr>
        <w:t>del</w:t>
      </w:r>
      <w:proofErr w:type="gramEnd"/>
      <w:r w:rsidRPr="006E681A">
        <w:rPr>
          <w:rFonts w:ascii="Times New Roman" w:hAnsi="Times New Roman" w:cs="Times New Roman"/>
          <w:i/>
          <w:iCs/>
          <w:sz w:val="22"/>
          <w:szCs w:val="22"/>
          <w:lang w:val="en-US"/>
        </w:rPr>
        <w:t xml:space="preserve"> aporte mensual correspondiente a cada trabajadora o trabajador.</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i/>
          <w:iCs/>
          <w:sz w:val="22"/>
          <w:szCs w:val="22"/>
          <w:lang w:val="en-US"/>
        </w:rPr>
        <w:t>3. Cualquier otro ingreso neto distribuido entre las cuentas de ahorro obligatorio de cada trabajadora o trabajador.</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i/>
          <w:iCs/>
          <w:sz w:val="22"/>
          <w:szCs w:val="22"/>
          <w:lang w:val="en-US"/>
        </w:rPr>
        <w:t xml:space="preserve">4. Los egresos efectuados en dicha cuenta por la trabajadora o el trabajador y los cargos autorizados según los términos </w:t>
      </w:r>
      <w:r w:rsidRPr="006E681A">
        <w:rPr>
          <w:rFonts w:ascii="Times New Roman" w:hAnsi="Times New Roman" w:cs="Times New Roman"/>
          <w:i/>
          <w:iCs/>
          <w:sz w:val="22"/>
          <w:szCs w:val="22"/>
          <w:lang w:val="en-US"/>
        </w:rPr>
        <w:lastRenderedPageBreak/>
        <w:t xml:space="preserve">establecidos en </w:t>
      </w:r>
      <w:proofErr w:type="gramStart"/>
      <w:r w:rsidRPr="006E681A">
        <w:rPr>
          <w:rFonts w:ascii="Times New Roman" w:hAnsi="Times New Roman" w:cs="Times New Roman"/>
          <w:i/>
          <w:iCs/>
          <w:sz w:val="22"/>
          <w:szCs w:val="22"/>
          <w:lang w:val="en-US"/>
        </w:rPr>
        <w:t>este</w:t>
      </w:r>
      <w:proofErr w:type="gramEnd"/>
      <w:r w:rsidRPr="006E681A">
        <w:rPr>
          <w:rFonts w:ascii="Times New Roman" w:hAnsi="Times New Roman" w:cs="Times New Roman"/>
          <w:i/>
          <w:iCs/>
          <w:sz w:val="22"/>
          <w:szCs w:val="22"/>
          <w:lang w:val="en-US"/>
        </w:rPr>
        <w:t xml:space="preserve"> Decreto con Rango Valor y Fuerza de Ley.</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i/>
          <w:iCs/>
          <w:sz w:val="22"/>
          <w:szCs w:val="22"/>
          <w:lang w:val="en-US"/>
        </w:rPr>
        <w:t xml:space="preserve">5. El aporte mensual a la cuenta de ahorro obligatorio para la vivienda de cada trabajadora o trabajador a que se refiere </w:t>
      </w:r>
      <w:proofErr w:type="gramStart"/>
      <w:r w:rsidRPr="006E681A">
        <w:rPr>
          <w:rFonts w:ascii="Times New Roman" w:hAnsi="Times New Roman" w:cs="Times New Roman"/>
          <w:i/>
          <w:iCs/>
          <w:sz w:val="22"/>
          <w:szCs w:val="22"/>
          <w:lang w:val="en-US"/>
        </w:rPr>
        <w:t>este</w:t>
      </w:r>
      <w:proofErr w:type="gramEnd"/>
      <w:r w:rsidRPr="006E681A">
        <w:rPr>
          <w:rFonts w:ascii="Times New Roman" w:hAnsi="Times New Roman" w:cs="Times New Roman"/>
          <w:i/>
          <w:iCs/>
          <w:sz w:val="22"/>
          <w:szCs w:val="22"/>
          <w:lang w:val="en-US"/>
        </w:rPr>
        <w:t xml:space="preserve"> artículo, así como la participación del patrono y del trabajador podrán ser modificados por el Ministerio del Poder Popular con competencia en materia de vivienda y hábitat. En todo caso, el aporte no podrá ser menor al tres por ciento (3%) establecido en </w:t>
      </w:r>
      <w:proofErr w:type="gramStart"/>
      <w:r w:rsidRPr="006E681A">
        <w:rPr>
          <w:rFonts w:ascii="Times New Roman" w:hAnsi="Times New Roman" w:cs="Times New Roman"/>
          <w:i/>
          <w:iCs/>
          <w:sz w:val="22"/>
          <w:szCs w:val="22"/>
          <w:lang w:val="en-US"/>
        </w:rPr>
        <w:t>este</w:t>
      </w:r>
      <w:proofErr w:type="gramEnd"/>
      <w:r w:rsidRPr="006E681A">
        <w:rPr>
          <w:rFonts w:ascii="Times New Roman" w:hAnsi="Times New Roman" w:cs="Times New Roman"/>
          <w:i/>
          <w:iCs/>
          <w:sz w:val="22"/>
          <w:szCs w:val="22"/>
          <w:lang w:val="en-US"/>
        </w:rPr>
        <w:t xml:space="preserve"> artículo.</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i/>
          <w:iCs/>
          <w:sz w:val="22"/>
          <w:szCs w:val="22"/>
          <w:lang w:val="en-US"/>
        </w:rPr>
        <w:t xml:space="preserve">El Banco Nacional de Vivienda y Hábitat, </w:t>
      </w:r>
      <w:proofErr w:type="gramStart"/>
      <w:r w:rsidRPr="006E681A">
        <w:rPr>
          <w:rFonts w:ascii="Times New Roman" w:hAnsi="Times New Roman" w:cs="Times New Roman"/>
          <w:i/>
          <w:iCs/>
          <w:sz w:val="22"/>
          <w:szCs w:val="22"/>
          <w:lang w:val="en-US"/>
        </w:rPr>
        <w:t>como</w:t>
      </w:r>
      <w:proofErr w:type="gramEnd"/>
      <w:r w:rsidRPr="006E681A">
        <w:rPr>
          <w:rFonts w:ascii="Times New Roman" w:hAnsi="Times New Roman" w:cs="Times New Roman"/>
          <w:i/>
          <w:iCs/>
          <w:sz w:val="22"/>
          <w:szCs w:val="22"/>
          <w:lang w:val="en-US"/>
        </w:rPr>
        <w:t xml:space="preserve"> administrador del Fondo de Ahorro Obligatorio, velará por la veracidad y la oportunidad de la información respecto a las transacciones efectuadas en la cuenta de ahorro obligatorio para la vivienda de cada trabajadora o trabajador.</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i/>
          <w:iCs/>
          <w:sz w:val="22"/>
          <w:szCs w:val="22"/>
          <w:lang w:val="en-US"/>
        </w:rPr>
        <w:t xml:space="preserve">El porcentaje aportado por la empleadora y el empleador previsto en </w:t>
      </w:r>
      <w:proofErr w:type="gramStart"/>
      <w:r w:rsidRPr="006E681A">
        <w:rPr>
          <w:rFonts w:ascii="Times New Roman" w:hAnsi="Times New Roman" w:cs="Times New Roman"/>
          <w:i/>
          <w:iCs/>
          <w:sz w:val="22"/>
          <w:szCs w:val="22"/>
          <w:lang w:val="en-US"/>
        </w:rPr>
        <w:t>este</w:t>
      </w:r>
      <w:proofErr w:type="gramEnd"/>
      <w:r w:rsidRPr="006E681A">
        <w:rPr>
          <w:rFonts w:ascii="Times New Roman" w:hAnsi="Times New Roman" w:cs="Times New Roman"/>
          <w:i/>
          <w:iCs/>
          <w:sz w:val="22"/>
          <w:szCs w:val="22"/>
          <w:lang w:val="en-US"/>
        </w:rPr>
        <w:t xml:space="preserve"> artículo no formará parte de la remuneración que sirva de base para el cálculo de las prestaciones e indemnizaciones sociales contempladas en las leyes que rigen la materia</w:t>
      </w:r>
      <w:r w:rsidRPr="006E681A">
        <w:rPr>
          <w:rFonts w:ascii="Times New Roman" w:hAnsi="Times New Roman" w:cs="Times New Roman"/>
          <w:sz w:val="22"/>
          <w:szCs w:val="22"/>
          <w:lang w:val="en-US"/>
        </w:rPr>
        <w:t>”. (Resaltado de esta Máxima Instancia).</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El artículo transcrito consagra como base de cálculo de los aportes que deben efectuarse al Fondo de Ahorro Obligatorio para la Vivienda (FAOV) el salario integral, el cual comprende todos los conceptos que a título enunciativo se contemplan en el artículo 133 de la derogada Ley Orgánica del Trabajo de 1997, ahora artículo 104 del Decreto Nro. 8.938 del 30 de abril de 2012, mediante el cual se dictó el Decreto con Rango, Valor y fuerza de Ley Orgánica del Trabajo, los Trabajadores y las Trabajadoras, publicado en la Gaceta Oficial de la República Bolivariana de Venezuela Nro. 6.076 </w:t>
      </w:r>
      <w:proofErr w:type="gramStart"/>
      <w:r w:rsidRPr="006E681A">
        <w:rPr>
          <w:rFonts w:ascii="Times New Roman" w:hAnsi="Times New Roman" w:cs="Times New Roman"/>
          <w:sz w:val="22"/>
          <w:szCs w:val="22"/>
          <w:lang w:val="en-US"/>
        </w:rPr>
        <w:t>del</w:t>
      </w:r>
      <w:proofErr w:type="gramEnd"/>
      <w:r w:rsidRPr="006E681A">
        <w:rPr>
          <w:rFonts w:ascii="Times New Roman" w:hAnsi="Times New Roman" w:cs="Times New Roman"/>
          <w:sz w:val="22"/>
          <w:szCs w:val="22"/>
          <w:lang w:val="en-US"/>
        </w:rPr>
        <w:t xml:space="preserve"> 07 de mayo de 2012. De tal manera que el salario integral conforme a la normativa indicada comprende toda “</w:t>
      </w:r>
      <w:r w:rsidRPr="006E681A">
        <w:rPr>
          <w:rFonts w:ascii="Times New Roman" w:hAnsi="Times New Roman" w:cs="Times New Roman"/>
          <w:i/>
          <w:iCs/>
          <w:sz w:val="22"/>
          <w:szCs w:val="22"/>
          <w:lang w:val="en-US"/>
        </w:rPr>
        <w:t xml:space="preserve">remuneración, provecho o ventaja, cualquiera fuere su denominación o método de cálculo, siempre que pueda evaluarse en moneda de curso legal, que corresponda al trabajador o trabajadora por la prestación de su servicio y, entre otros, comprende las comisiones, primas, gratificaciones, participación en los beneficios o utilidades, sobresueldos, bono vacacional, así como recargos por días feriados, horas extraordinarias o trabajo nocturno, alimentación y vivienda. </w:t>
      </w:r>
      <w:r w:rsidRPr="006E681A">
        <w:rPr>
          <w:rFonts w:ascii="Times New Roman" w:hAnsi="Times New Roman" w:cs="Times New Roman"/>
          <w:sz w:val="22"/>
          <w:szCs w:val="22"/>
          <w:lang w:val="en-US"/>
        </w:rPr>
        <w:t>(…)</w:t>
      </w:r>
      <w:r w:rsidRPr="006E681A">
        <w:rPr>
          <w:rFonts w:ascii="Times New Roman" w:hAnsi="Times New Roman" w:cs="Times New Roman"/>
          <w:i/>
          <w:iCs/>
          <w:sz w:val="22"/>
          <w:szCs w:val="22"/>
          <w:lang w:val="en-US"/>
        </w:rPr>
        <w:t>”.</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Respecto al mismo punto, la Sala de Casación Social ha señalado que tanto </w:t>
      </w:r>
      <w:r w:rsidRPr="006E681A">
        <w:rPr>
          <w:rFonts w:ascii="Times New Roman" w:hAnsi="Times New Roman" w:cs="Times New Roman"/>
          <w:i/>
          <w:iCs/>
          <w:sz w:val="22"/>
          <w:szCs w:val="22"/>
          <w:lang w:val="en-US"/>
        </w:rPr>
        <w:t xml:space="preserve">“en la Ley de 1990 como en su reforma de 1997 </w:t>
      </w:r>
      <w:r w:rsidRPr="006E681A">
        <w:rPr>
          <w:rFonts w:ascii="Times New Roman" w:hAnsi="Times New Roman" w:cs="Times New Roman"/>
          <w:sz w:val="22"/>
          <w:szCs w:val="22"/>
          <w:lang w:val="en-US"/>
        </w:rPr>
        <w:t>(…)</w:t>
      </w:r>
      <w:r w:rsidRPr="006E681A">
        <w:rPr>
          <w:rFonts w:ascii="Times New Roman" w:hAnsi="Times New Roman" w:cs="Times New Roman"/>
          <w:i/>
          <w:iCs/>
          <w:sz w:val="22"/>
          <w:szCs w:val="22"/>
          <w:lang w:val="en-US"/>
        </w:rPr>
        <w:t>, el artículo 133 contempló el denominado salario integral, conformado por todos los beneficios y remuneraciones recibidos por el trabajador y no expresamente excluidos a sus efectos, comprendidos allí por consiguiente, las percepciones correspondientes a las jornadas tanto ordinarias como extraordinarias; concepto ese diferente por más amplio al de salario normal, tal como estableció la Sala Civil de la Corte Suprema de Justicia en fallo del 22 junio 1998.”</w:t>
      </w:r>
      <w:r w:rsidRPr="006E681A">
        <w:rPr>
          <w:rFonts w:ascii="Times New Roman" w:hAnsi="Times New Roman" w:cs="Times New Roman"/>
          <w:sz w:val="22"/>
          <w:szCs w:val="22"/>
          <w:lang w:val="en-US"/>
        </w:rPr>
        <w:t xml:space="preserve"> [</w:t>
      </w:r>
      <w:r w:rsidRPr="006E681A">
        <w:rPr>
          <w:rFonts w:ascii="Times New Roman" w:hAnsi="Times New Roman" w:cs="Times New Roman"/>
          <w:i/>
          <w:iCs/>
          <w:sz w:val="22"/>
          <w:szCs w:val="22"/>
          <w:lang w:val="en-US"/>
        </w:rPr>
        <w:t>Vid.</w:t>
      </w:r>
      <w:r w:rsidRPr="006E681A">
        <w:rPr>
          <w:rFonts w:ascii="Times New Roman" w:hAnsi="Times New Roman" w:cs="Times New Roman"/>
          <w:sz w:val="22"/>
          <w:szCs w:val="22"/>
          <w:lang w:val="en-US"/>
        </w:rPr>
        <w:t xml:space="preserve"> sentencia Nro. 438 del 02 de noviembre de 2000, caso: </w:t>
      </w:r>
      <w:r w:rsidRPr="006E681A">
        <w:rPr>
          <w:rFonts w:ascii="Times New Roman" w:hAnsi="Times New Roman" w:cs="Times New Roman"/>
          <w:i/>
          <w:iCs/>
          <w:sz w:val="22"/>
          <w:szCs w:val="22"/>
          <w:lang w:val="en-US"/>
        </w:rPr>
        <w:t>Aurelio Rafael Correa Santamaría Vs. Petroquímica de Venezuela, S.A. (Pequiven)</w:t>
      </w:r>
      <w:r w:rsidRPr="006E681A">
        <w:rPr>
          <w:rFonts w:ascii="Times New Roman" w:hAnsi="Times New Roman" w:cs="Times New Roman"/>
          <w:sz w:val="22"/>
          <w:szCs w:val="22"/>
          <w:lang w:val="en-US"/>
        </w:rPr>
        <w:t>].</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Bajo la óptica de las normas antes transcritas y del criterio jurisprudencial sentado por la Sala de Casación Social de este Máximo Tribunal, donde se establece lo que debe entenderse por salario normal y salario integral conforme a la normativa laboral, esta Sala Político- Administrativa estima necesario examinar los postulados constitucionales que orientan al régimen prestacional de la vivienda y hábitat, a fin de concluir si la base de cálculo de los aportes que deben realizar tanto las patronas y los patronos como las trabajadoras y los </w:t>
      </w:r>
      <w:r w:rsidRPr="006E681A">
        <w:rPr>
          <w:rFonts w:ascii="Times New Roman" w:hAnsi="Times New Roman" w:cs="Times New Roman"/>
          <w:sz w:val="22"/>
          <w:szCs w:val="22"/>
          <w:lang w:val="en-US"/>
        </w:rPr>
        <w:lastRenderedPageBreak/>
        <w:t>trabajadores</w:t>
      </w:r>
      <w:r w:rsidRPr="006E681A">
        <w:rPr>
          <w:rFonts w:ascii="Times New Roman" w:hAnsi="Times New Roman" w:cs="Times New Roman"/>
          <w:i/>
          <w:iCs/>
          <w:sz w:val="22"/>
          <w:szCs w:val="22"/>
          <w:lang w:val="en-US"/>
        </w:rPr>
        <w:t xml:space="preserve"> </w:t>
      </w:r>
      <w:r w:rsidRPr="006E681A">
        <w:rPr>
          <w:rFonts w:ascii="Times New Roman" w:hAnsi="Times New Roman" w:cs="Times New Roman"/>
          <w:sz w:val="22"/>
          <w:szCs w:val="22"/>
          <w:lang w:val="en-US"/>
        </w:rPr>
        <w:t>al Fondo de Ahorro Obligatorio para la Vivienda (FAOV), es el salario normal o el salario integral.</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Así, debe partirse de una interpretación sistemática y axiológica de los valores que se encuentran íntimamente relacionados con el sistema de seguridad social, el cual recoge dentro de los subsistemas que lo integran al sistema de vivienda y hábitat, por lo que debe hacerse referencia a los parámetros que orientan al Estado Democrático y Social, de Derecho y de Justicia concebido por el Poder Constituyente.</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La Constitución de la República Bolivariana de Venezuela en su Exposición de Motivos destaca el derecho a la vivienda </w:t>
      </w:r>
      <w:proofErr w:type="gramStart"/>
      <w:r w:rsidRPr="006E681A">
        <w:rPr>
          <w:rFonts w:ascii="Times New Roman" w:hAnsi="Times New Roman" w:cs="Times New Roman"/>
          <w:sz w:val="22"/>
          <w:szCs w:val="22"/>
          <w:lang w:val="en-US"/>
        </w:rPr>
        <w:t>como</w:t>
      </w:r>
      <w:proofErr w:type="gramEnd"/>
      <w:r w:rsidRPr="006E681A">
        <w:rPr>
          <w:rFonts w:ascii="Times New Roman" w:hAnsi="Times New Roman" w:cs="Times New Roman"/>
          <w:sz w:val="22"/>
          <w:szCs w:val="22"/>
          <w:lang w:val="en-US"/>
        </w:rPr>
        <w:t xml:space="preserve"> uno de los derechos sociales. Considera a la vivienda como un hábitat que humaniza las relaciones familiares y comunitarias, siendo el derecho a la vivienda uno de los elementos elevados a rango constitucional y que requiere una interpretación acorde con su finalidad y no sujeta a exigencias jurídicas alejadas de la realidad social.</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De allí que el artículo 86 de la Carta Magna a efectos de asegurar la efectividad del derecho a la seguridad social, obliga al Estado a crear un sistema de seguridad social regido bajo los siguientes principios:                     </w:t>
      </w:r>
      <w:r w:rsidRPr="006E681A">
        <w:rPr>
          <w:rFonts w:ascii="Times New Roman" w:hAnsi="Times New Roman" w:cs="Times New Roman"/>
          <w:i/>
          <w:iCs/>
          <w:sz w:val="22"/>
          <w:szCs w:val="22"/>
          <w:lang w:val="en-US"/>
        </w:rPr>
        <w:t xml:space="preserve">i) </w:t>
      </w:r>
      <w:r w:rsidRPr="006E681A">
        <w:rPr>
          <w:rFonts w:ascii="Times New Roman" w:hAnsi="Times New Roman" w:cs="Times New Roman"/>
          <w:sz w:val="22"/>
          <w:szCs w:val="22"/>
          <w:lang w:val="en-US"/>
        </w:rPr>
        <w:t xml:space="preserve">universalidad (protección a todos los ciudadanos); </w:t>
      </w:r>
      <w:r w:rsidRPr="006E681A">
        <w:rPr>
          <w:rFonts w:ascii="Times New Roman" w:hAnsi="Times New Roman" w:cs="Times New Roman"/>
          <w:i/>
          <w:iCs/>
          <w:sz w:val="22"/>
          <w:szCs w:val="22"/>
          <w:lang w:val="en-US"/>
        </w:rPr>
        <w:t>ii)</w:t>
      </w:r>
      <w:r w:rsidRPr="006E681A">
        <w:rPr>
          <w:rFonts w:ascii="Times New Roman" w:hAnsi="Times New Roman" w:cs="Times New Roman"/>
          <w:sz w:val="22"/>
          <w:szCs w:val="22"/>
          <w:lang w:val="en-US"/>
        </w:rPr>
        <w:t xml:space="preserve"> integralidad (garantizar la cobertura de todas las necesidades de previsión amparadas por el sistema); </w:t>
      </w:r>
      <w:r w:rsidRPr="006E681A">
        <w:rPr>
          <w:rFonts w:ascii="Times New Roman" w:hAnsi="Times New Roman" w:cs="Times New Roman"/>
          <w:i/>
          <w:iCs/>
          <w:sz w:val="22"/>
          <w:szCs w:val="22"/>
          <w:lang w:val="en-US"/>
        </w:rPr>
        <w:t>iii)</w:t>
      </w:r>
      <w:r w:rsidRPr="006E681A">
        <w:rPr>
          <w:rFonts w:ascii="Times New Roman" w:hAnsi="Times New Roman" w:cs="Times New Roman"/>
          <w:sz w:val="22"/>
          <w:szCs w:val="22"/>
          <w:lang w:val="en-US"/>
        </w:rPr>
        <w:t xml:space="preserve"> solidaridad (protección a los menos favorecidos); </w:t>
      </w:r>
      <w:r w:rsidRPr="006E681A">
        <w:rPr>
          <w:rFonts w:ascii="Times New Roman" w:hAnsi="Times New Roman" w:cs="Times New Roman"/>
          <w:i/>
          <w:iCs/>
          <w:sz w:val="22"/>
          <w:szCs w:val="22"/>
          <w:lang w:val="en-US"/>
        </w:rPr>
        <w:t>iv)</w:t>
      </w:r>
      <w:r w:rsidRPr="006E681A">
        <w:rPr>
          <w:rFonts w:ascii="Times New Roman" w:hAnsi="Times New Roman" w:cs="Times New Roman"/>
          <w:sz w:val="22"/>
          <w:szCs w:val="22"/>
          <w:lang w:val="en-US"/>
        </w:rPr>
        <w:t xml:space="preserve"> unicidad (articulación de políticas, instituciones y normativas que lo regulan);              </w:t>
      </w:r>
      <w:r w:rsidRPr="006E681A">
        <w:rPr>
          <w:rFonts w:ascii="Times New Roman" w:hAnsi="Times New Roman" w:cs="Times New Roman"/>
          <w:i/>
          <w:iCs/>
          <w:sz w:val="22"/>
          <w:szCs w:val="22"/>
          <w:lang w:val="en-US"/>
        </w:rPr>
        <w:t>v)</w:t>
      </w:r>
      <w:r w:rsidRPr="006E681A">
        <w:rPr>
          <w:rFonts w:ascii="Times New Roman" w:hAnsi="Times New Roman" w:cs="Times New Roman"/>
          <w:sz w:val="22"/>
          <w:szCs w:val="22"/>
          <w:lang w:val="en-US"/>
        </w:rPr>
        <w:t xml:space="preserve"> eficiencia (óptimo uso de los recursos disponibles); y </w:t>
      </w:r>
      <w:r w:rsidRPr="006E681A">
        <w:rPr>
          <w:rFonts w:ascii="Times New Roman" w:hAnsi="Times New Roman" w:cs="Times New Roman"/>
          <w:i/>
          <w:iCs/>
          <w:sz w:val="22"/>
          <w:szCs w:val="22"/>
          <w:lang w:val="en-US"/>
        </w:rPr>
        <w:t>vi)</w:t>
      </w:r>
      <w:r w:rsidRPr="006E681A">
        <w:rPr>
          <w:rFonts w:ascii="Times New Roman" w:hAnsi="Times New Roman" w:cs="Times New Roman"/>
          <w:sz w:val="22"/>
          <w:szCs w:val="22"/>
          <w:lang w:val="en-US"/>
        </w:rPr>
        <w:t xml:space="preserve"> participación (coparticipación entre el Estado y los ciudadanos).</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En armonía con lo anterior, cabe enfatizar que el Fondo de Ahorro Obligatorio para la Vivienda (FAOV) tiene como sujetos beneficiarios a las trabajadoras y a los trabajadores bajo relación de dependencia, razón por la cual es innegable que el sistema está íntimamente relacionado con el derecho al trabajo, constituyendo un deber y un derecho para todos los ciudadanos en condiciones de coadyuvar en términos de corresponsabilidad, solidaridad e igualdad, al desarrollo de los fines esenciales del Estado, siendo el trabajo uno de los elementos esenciales que permiten alcanzar la mayor suma de felicidad en la población, lo que incluye entre otros elementos la adquisición de una vivienda digna.</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Asimismo, es necesario insistir en que los aportes al mencionado Fondo tienen por finalidad establecer mecanismos para que a través del ahorro individual de cada aportante se garantice el acceso a una vivienda digna, por lo que se requiere que las cotizaciones sean suficientes a objeto de garantizar la posibilidad de tener acceso a mejores créditos (lo cual está relacionado al monto acumulado), pues un aporte disminuido indudablemente limita la capacidad del ente encargado para proveer a sus beneficiarios del mayor número y calidad de espacios de vivienda y hábitat, es decir, en mejores condiciones para el desarrollo humano.</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Analizado el preámbulo constitucional antes descrito, es pertinente enfatizar que la normativa regulatoria de la base del cálculo de los aportes al Fondo de Ahorro Obligatorio para la Vivienda (FAOV) contemplada en la Ley del Régimen Prestacional de Vivienda y Hábitat, ha experimentado un proceso evolutivo desde el salario normal inicialmente concebido al salario integral, siendo cónsono con la realidad social existente que impulsa la necesidad imperativa de ampliar la base de cálculo de los aportes a fin de beneficiar a las trabajadoras y a los trabajadores. En efecto, a mayores aportes más facilidades habrá a la hora de obtener créditos para vivienda; asimismo el sistema prestacional será más eficiente y eficaz al contar con una masa de dinero mayor que indudablemente incrementará las opciones para ofrecer viviendas dignas.</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Por tal razón, esta Alzada al momento de ejercer su labor hermenéutica de las normas jurídicas y aplicarlas al caso concreto, debe partir desde la perspectiva del derecho y la justicia </w:t>
      </w:r>
      <w:r w:rsidRPr="006E681A">
        <w:rPr>
          <w:rFonts w:ascii="Times New Roman" w:hAnsi="Times New Roman" w:cs="Times New Roman"/>
          <w:sz w:val="22"/>
          <w:szCs w:val="22"/>
          <w:lang w:val="en-US"/>
        </w:rPr>
        <w:lastRenderedPageBreak/>
        <w:t>social, desde el cual las normas que regulan el actuar de los individuos no sean vistas como compartimientos estancos sino que deban ser entendidas y aplicadas cediendo espacios a la realidad social imperante, en la que la justicia implica más la inclusión de lo colectivo en lo social que una mera justicia para satisfacer intereses individuales.</w:t>
      </w:r>
    </w:p>
    <w:p w:rsidR="00603A26" w:rsidRPr="006E681A" w:rsidRDefault="00603A26" w:rsidP="00603A26">
      <w:pPr>
        <w:widowControl w:val="0"/>
        <w:autoSpaceDE w:val="0"/>
        <w:autoSpaceDN w:val="0"/>
        <w:adjustRightInd w:val="0"/>
        <w:spacing w:after="2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En virtud de lo expresado, esta Sala observa que en la causa examinada la norma que previó la base de cálculo de los aportes al Fondo de Ahorro Obligatorio para la Vivienda (FAOV) ha experimentado algunos cambios, desde la Ley que Regula el Subsistema de Vivienda y Política Habitacional de 2000, aplicable para los años 2003, 2004 y 2005, la cual en su artículo 36 se refirió expresamente al </w:t>
      </w:r>
      <w:r w:rsidRPr="006E681A">
        <w:rPr>
          <w:rFonts w:ascii="Times New Roman" w:hAnsi="Times New Roman" w:cs="Times New Roman"/>
          <w:b/>
          <w:bCs/>
          <w:sz w:val="22"/>
          <w:szCs w:val="22"/>
          <w:lang w:val="en-US"/>
        </w:rPr>
        <w:t>salario normal</w:t>
      </w:r>
      <w:r w:rsidRPr="006E681A">
        <w:rPr>
          <w:rFonts w:ascii="Times New Roman" w:hAnsi="Times New Roman" w:cs="Times New Roman"/>
          <w:sz w:val="22"/>
          <w:szCs w:val="22"/>
          <w:lang w:val="en-US"/>
        </w:rPr>
        <w:t xml:space="preserve">; las Leyes del Régimen Prestacional de Vivienda y Hábitat de 2005 y 2006, aplicables a los años 2006, 2007 y 2008, que en el artículo 172 aludieron al </w:t>
      </w:r>
      <w:r w:rsidRPr="006E681A">
        <w:rPr>
          <w:rFonts w:ascii="Times New Roman" w:hAnsi="Times New Roman" w:cs="Times New Roman"/>
          <w:b/>
          <w:bCs/>
          <w:sz w:val="22"/>
          <w:szCs w:val="22"/>
          <w:lang w:val="en-US"/>
        </w:rPr>
        <w:t>ingreso total mensual</w:t>
      </w:r>
      <w:r w:rsidRPr="006E681A">
        <w:rPr>
          <w:rFonts w:ascii="Times New Roman" w:hAnsi="Times New Roman" w:cs="Times New Roman"/>
          <w:sz w:val="22"/>
          <w:szCs w:val="22"/>
          <w:lang w:val="en-US"/>
        </w:rPr>
        <w:t xml:space="preserve">; y el Decreto Nro. 6.072 del 14 de mayo de 2008, con Rango, Valor y Fuerza de Ley del Régimen Prestacional de Vivienda y Hábitat, publicado en la Gaceta Oficial de la República Bolivariana de Venezuela Nro. 5.889 Extraordinario del 31 de julio de 2008, cuya vigencia comenzó a partir del 1° de agosto de 2008 y estableció en el artículo 172 el </w:t>
      </w:r>
      <w:r w:rsidRPr="006E681A">
        <w:rPr>
          <w:rFonts w:ascii="Times New Roman" w:hAnsi="Times New Roman" w:cs="Times New Roman"/>
          <w:b/>
          <w:bCs/>
          <w:sz w:val="22"/>
          <w:szCs w:val="22"/>
          <w:lang w:val="en-US"/>
        </w:rPr>
        <w:t>salario integral</w:t>
      </w:r>
      <w:r w:rsidRPr="006E681A">
        <w:rPr>
          <w:rFonts w:ascii="Times New Roman" w:hAnsi="Times New Roman" w:cs="Times New Roman"/>
          <w:sz w:val="22"/>
          <w:szCs w:val="22"/>
          <w:lang w:val="en-US"/>
        </w:rPr>
        <w:t>.</w:t>
      </w:r>
    </w:p>
    <w:p w:rsidR="00603A26" w:rsidRPr="006E681A" w:rsidRDefault="00603A26" w:rsidP="00603A26">
      <w:pPr>
        <w:widowControl w:val="0"/>
        <w:autoSpaceDE w:val="0"/>
        <w:autoSpaceDN w:val="0"/>
        <w:adjustRightInd w:val="0"/>
        <w:spacing w:after="2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Ahora bien, no pasa inadvertido para esta Máxima Instancia la existencia en el ámbito laboral del principio constitucional </w:t>
      </w:r>
      <w:r w:rsidRPr="006E681A">
        <w:rPr>
          <w:rFonts w:ascii="Times New Roman" w:hAnsi="Times New Roman" w:cs="Times New Roman"/>
          <w:b/>
          <w:bCs/>
          <w:i/>
          <w:iCs/>
          <w:sz w:val="22"/>
          <w:szCs w:val="22"/>
          <w:lang w:val="en-US"/>
        </w:rPr>
        <w:t>“protectorio o de tutela de los trabajadores”</w:t>
      </w:r>
      <w:r w:rsidRPr="006E681A">
        <w:rPr>
          <w:rFonts w:ascii="Times New Roman" w:hAnsi="Times New Roman" w:cs="Times New Roman"/>
          <w:sz w:val="22"/>
          <w:szCs w:val="22"/>
          <w:lang w:val="en-US"/>
        </w:rPr>
        <w:t xml:space="preserve">, el cual se explica a través de tres reglas operativas bien conocidas y desarrolladas por la doctrina, a saber: a) la regla de la norma más favorable o principio de favor, en cuya virtud si se plantearen dudas razonables en la aplicación de dos o más normas, será aplicada aquella que más favorezca al trabajador; b) el </w:t>
      </w:r>
      <w:r w:rsidRPr="006E681A">
        <w:rPr>
          <w:rFonts w:ascii="Times New Roman" w:hAnsi="Times New Roman" w:cs="Times New Roman"/>
          <w:i/>
          <w:iCs/>
          <w:sz w:val="22"/>
          <w:szCs w:val="22"/>
          <w:lang w:val="en-US"/>
        </w:rPr>
        <w:t>principio</w:t>
      </w:r>
      <w:r w:rsidRPr="006E681A">
        <w:rPr>
          <w:rFonts w:ascii="Times New Roman" w:hAnsi="Times New Roman" w:cs="Times New Roman"/>
          <w:sz w:val="22"/>
          <w:szCs w:val="22"/>
          <w:lang w:val="en-US"/>
        </w:rPr>
        <w:t xml:space="preserve"> </w:t>
      </w:r>
      <w:r w:rsidRPr="006E681A">
        <w:rPr>
          <w:rFonts w:ascii="Times New Roman" w:hAnsi="Times New Roman" w:cs="Times New Roman"/>
          <w:i/>
          <w:iCs/>
          <w:sz w:val="22"/>
          <w:szCs w:val="22"/>
          <w:lang w:val="en-US"/>
        </w:rPr>
        <w:t>in dubio pro operario</w:t>
      </w:r>
      <w:r w:rsidRPr="006E681A">
        <w:rPr>
          <w:rFonts w:ascii="Times New Roman" w:hAnsi="Times New Roman" w:cs="Times New Roman"/>
          <w:sz w:val="22"/>
          <w:szCs w:val="22"/>
          <w:lang w:val="en-US"/>
        </w:rPr>
        <w:t>, en atención al cual en caso de plantearse dudas razonables en la interpretación de una norma, deberá adoptarse aquella que más favorezca al trabajador; y c) el principio de conservación de la condición laboral más favorable, con ocasión del cual deberán ser respetados los derechos que se encuentran incorporados al patrimonio de la trabajadora o el trabajador en forma definitiva e irrevocable.</w:t>
      </w:r>
    </w:p>
    <w:p w:rsidR="00603A26" w:rsidRPr="006E681A" w:rsidRDefault="00603A26" w:rsidP="00603A26">
      <w:pPr>
        <w:widowControl w:val="0"/>
        <w:autoSpaceDE w:val="0"/>
        <w:autoSpaceDN w:val="0"/>
        <w:adjustRightInd w:val="0"/>
        <w:spacing w:after="260"/>
        <w:ind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La consagración del principio protector se encuentra recogida en el artículo 89, numeral 3 de la Constitución de la República Bolivariana de Venezuela de 1999, al disponer lo siguiente:</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i/>
          <w:iCs/>
          <w:sz w:val="22"/>
          <w:szCs w:val="22"/>
          <w:lang w:val="en-US"/>
        </w:rPr>
        <w:t>“</w:t>
      </w:r>
      <w:r w:rsidRPr="006E681A">
        <w:rPr>
          <w:rFonts w:ascii="Times New Roman" w:hAnsi="Times New Roman" w:cs="Times New Roman"/>
          <w:b/>
          <w:bCs/>
          <w:i/>
          <w:iCs/>
          <w:sz w:val="22"/>
          <w:szCs w:val="22"/>
          <w:lang w:val="en-US"/>
        </w:rPr>
        <w:t xml:space="preserve">Artículo 89. </w:t>
      </w:r>
      <w:r w:rsidRPr="006E681A">
        <w:rPr>
          <w:rFonts w:ascii="Times New Roman" w:hAnsi="Times New Roman" w:cs="Times New Roman"/>
          <w:i/>
          <w:iCs/>
          <w:sz w:val="22"/>
          <w:szCs w:val="22"/>
          <w:lang w:val="en-US"/>
        </w:rPr>
        <w:t xml:space="preserve">El trabajo es </w:t>
      </w:r>
      <w:proofErr w:type="gramStart"/>
      <w:r w:rsidRPr="006E681A">
        <w:rPr>
          <w:rFonts w:ascii="Times New Roman" w:hAnsi="Times New Roman" w:cs="Times New Roman"/>
          <w:i/>
          <w:iCs/>
          <w:sz w:val="22"/>
          <w:szCs w:val="22"/>
          <w:lang w:val="en-US"/>
        </w:rPr>
        <w:t>un</w:t>
      </w:r>
      <w:proofErr w:type="gramEnd"/>
      <w:r w:rsidRPr="006E681A">
        <w:rPr>
          <w:rFonts w:ascii="Times New Roman" w:hAnsi="Times New Roman" w:cs="Times New Roman"/>
          <w:i/>
          <w:iCs/>
          <w:sz w:val="22"/>
          <w:szCs w:val="22"/>
          <w:lang w:val="en-US"/>
        </w:rPr>
        <w:t xml:space="preserve"> hecho social y gozará de la protección del Estado. La ley dispondrá lo necesario para mejorar las condiciones materiales, morales e intelectuales de los trabajadores y trabajadoras. Para el cumplimiento de esta obligación </w:t>
      </w:r>
      <w:proofErr w:type="gramStart"/>
      <w:r w:rsidRPr="006E681A">
        <w:rPr>
          <w:rFonts w:ascii="Times New Roman" w:hAnsi="Times New Roman" w:cs="Times New Roman"/>
          <w:i/>
          <w:iCs/>
          <w:sz w:val="22"/>
          <w:szCs w:val="22"/>
          <w:lang w:val="en-US"/>
        </w:rPr>
        <w:t>del</w:t>
      </w:r>
      <w:proofErr w:type="gramEnd"/>
      <w:r w:rsidRPr="006E681A">
        <w:rPr>
          <w:rFonts w:ascii="Times New Roman" w:hAnsi="Times New Roman" w:cs="Times New Roman"/>
          <w:i/>
          <w:iCs/>
          <w:sz w:val="22"/>
          <w:szCs w:val="22"/>
          <w:lang w:val="en-US"/>
        </w:rPr>
        <w:t xml:space="preserve"> Estado se establecen los siguientes principios:</w:t>
      </w:r>
    </w:p>
    <w:p w:rsidR="00603A26" w:rsidRPr="006E681A" w:rsidRDefault="00603A26" w:rsidP="00603A26">
      <w:pPr>
        <w:widowControl w:val="0"/>
        <w:autoSpaceDE w:val="0"/>
        <w:autoSpaceDN w:val="0"/>
        <w:adjustRightInd w:val="0"/>
        <w:spacing w:after="260"/>
        <w:ind w:left="1500" w:right="1400"/>
        <w:jc w:val="center"/>
        <w:rPr>
          <w:rFonts w:ascii="Times New Roman" w:hAnsi="Times New Roman" w:cs="Times New Roman"/>
          <w:sz w:val="22"/>
          <w:szCs w:val="22"/>
          <w:lang w:val="en-US"/>
        </w:rPr>
      </w:pPr>
      <w:r w:rsidRPr="006E681A">
        <w:rPr>
          <w:rFonts w:ascii="Times New Roman" w:hAnsi="Times New Roman" w:cs="Times New Roman"/>
          <w:sz w:val="22"/>
          <w:szCs w:val="22"/>
          <w:lang w:val="en-US"/>
        </w:rPr>
        <w:t>(…)</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i/>
          <w:iCs/>
          <w:sz w:val="22"/>
          <w:szCs w:val="22"/>
          <w:lang w:val="en-US"/>
        </w:rPr>
        <w:t xml:space="preserve">3. Cuando hubiere dudas acerca de la aplicación o concurrencia de varias </w:t>
      </w:r>
      <w:proofErr w:type="gramStart"/>
      <w:r w:rsidRPr="006E681A">
        <w:rPr>
          <w:rFonts w:ascii="Times New Roman" w:hAnsi="Times New Roman" w:cs="Times New Roman"/>
          <w:i/>
          <w:iCs/>
          <w:sz w:val="22"/>
          <w:szCs w:val="22"/>
          <w:lang w:val="en-US"/>
        </w:rPr>
        <w:t>normas</w:t>
      </w:r>
      <w:proofErr w:type="gramEnd"/>
      <w:r w:rsidRPr="006E681A">
        <w:rPr>
          <w:rFonts w:ascii="Times New Roman" w:hAnsi="Times New Roman" w:cs="Times New Roman"/>
          <w:i/>
          <w:iCs/>
          <w:sz w:val="22"/>
          <w:szCs w:val="22"/>
          <w:lang w:val="en-US"/>
        </w:rPr>
        <w:t>, o en la interpretación de una determinada norma, se aplicará la más favorable al trabajador o trabajadora. La norma adoptada se aplicará en su integridad”.</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Por su parte, la Sala de Casación Social de este Máximo Tribunal ha sostenido que el principio de favor o </w:t>
      </w:r>
      <w:r w:rsidRPr="006E681A">
        <w:rPr>
          <w:rFonts w:ascii="Times New Roman" w:hAnsi="Times New Roman" w:cs="Times New Roman"/>
          <w:i/>
          <w:iCs/>
          <w:sz w:val="22"/>
          <w:szCs w:val="22"/>
          <w:lang w:val="en-US"/>
        </w:rPr>
        <w:t>principio</w:t>
      </w:r>
      <w:r w:rsidRPr="006E681A">
        <w:rPr>
          <w:rFonts w:ascii="Times New Roman" w:hAnsi="Times New Roman" w:cs="Times New Roman"/>
          <w:sz w:val="22"/>
          <w:szCs w:val="22"/>
          <w:lang w:val="en-US"/>
        </w:rPr>
        <w:t xml:space="preserve"> </w:t>
      </w:r>
      <w:r w:rsidRPr="006E681A">
        <w:rPr>
          <w:rFonts w:ascii="Times New Roman" w:hAnsi="Times New Roman" w:cs="Times New Roman"/>
          <w:i/>
          <w:iCs/>
          <w:sz w:val="22"/>
          <w:szCs w:val="22"/>
          <w:lang w:val="en-US"/>
        </w:rPr>
        <w:t>in dubio pro operario</w:t>
      </w:r>
      <w:r w:rsidRPr="006E681A">
        <w:rPr>
          <w:rFonts w:ascii="Times New Roman" w:hAnsi="Times New Roman" w:cs="Times New Roman"/>
          <w:sz w:val="22"/>
          <w:szCs w:val="22"/>
          <w:lang w:val="en-US"/>
        </w:rPr>
        <w:t xml:space="preserve"> concreta su finalidad en tres aplicaciones: a) en caso de conflictos de leyes, deben prevalecer las del trabajo, sustantivas o procedimentales; b) cuando se presenten conflictos de normas, </w:t>
      </w:r>
      <w:r w:rsidRPr="006E681A">
        <w:rPr>
          <w:rFonts w:ascii="Times New Roman" w:hAnsi="Times New Roman" w:cs="Times New Roman"/>
          <w:b/>
          <w:bCs/>
          <w:sz w:val="22"/>
          <w:szCs w:val="22"/>
          <w:lang w:val="en-US"/>
        </w:rPr>
        <w:t>ha de aplicarse la más favorable al trabajador</w:t>
      </w:r>
      <w:r w:rsidRPr="006E681A">
        <w:rPr>
          <w:rFonts w:ascii="Times New Roman" w:hAnsi="Times New Roman" w:cs="Times New Roman"/>
          <w:sz w:val="22"/>
          <w:szCs w:val="22"/>
          <w:lang w:val="en-US"/>
        </w:rPr>
        <w:t>; y c) en el supuesto de incerteza entre dos declaraciones posibles derivadas de una misma norma, ha de preferirse la interpretación que más beneficie al trabajador. (</w:t>
      </w:r>
      <w:r w:rsidRPr="006E681A">
        <w:rPr>
          <w:rFonts w:ascii="Times New Roman" w:hAnsi="Times New Roman" w:cs="Times New Roman"/>
          <w:i/>
          <w:iCs/>
          <w:sz w:val="22"/>
          <w:szCs w:val="22"/>
          <w:lang w:val="en-US"/>
        </w:rPr>
        <w:t>Vid.</w:t>
      </w:r>
      <w:r w:rsidRPr="006E681A">
        <w:rPr>
          <w:rFonts w:ascii="Times New Roman" w:hAnsi="Times New Roman" w:cs="Times New Roman"/>
          <w:sz w:val="22"/>
          <w:szCs w:val="22"/>
          <w:lang w:val="en-US"/>
        </w:rPr>
        <w:t xml:space="preserve"> sentencia 1211 </w:t>
      </w:r>
      <w:proofErr w:type="gramStart"/>
      <w:r w:rsidRPr="006E681A">
        <w:rPr>
          <w:rFonts w:ascii="Times New Roman" w:hAnsi="Times New Roman" w:cs="Times New Roman"/>
          <w:sz w:val="22"/>
          <w:szCs w:val="22"/>
          <w:lang w:val="en-US"/>
        </w:rPr>
        <w:t>del</w:t>
      </w:r>
      <w:proofErr w:type="gramEnd"/>
      <w:r w:rsidRPr="006E681A">
        <w:rPr>
          <w:rFonts w:ascii="Times New Roman" w:hAnsi="Times New Roman" w:cs="Times New Roman"/>
          <w:sz w:val="22"/>
          <w:szCs w:val="22"/>
          <w:lang w:val="en-US"/>
        </w:rPr>
        <w:t xml:space="preserve"> 29 de julio de 2008, caso</w:t>
      </w:r>
      <w:r w:rsidRPr="006E681A">
        <w:rPr>
          <w:rFonts w:ascii="Times New Roman" w:hAnsi="Times New Roman" w:cs="Times New Roman"/>
          <w:i/>
          <w:iCs/>
          <w:sz w:val="22"/>
          <w:szCs w:val="22"/>
          <w:lang w:val="en-US"/>
        </w:rPr>
        <w:t xml:space="preserve">: Wilma Escalona Leal y Otros contra Petróleos de Venezuela, S.A. (PDVSA) </w:t>
      </w:r>
      <w:r w:rsidRPr="006E681A">
        <w:rPr>
          <w:rFonts w:ascii="Times New Roman" w:hAnsi="Times New Roman" w:cs="Times New Roman"/>
          <w:i/>
          <w:iCs/>
          <w:sz w:val="22"/>
          <w:szCs w:val="22"/>
          <w:lang w:val="en-US"/>
        </w:rPr>
        <w:lastRenderedPageBreak/>
        <w:t>y otra</w:t>
      </w:r>
      <w:r w:rsidRPr="006E681A">
        <w:rPr>
          <w:rFonts w:ascii="Times New Roman" w:hAnsi="Times New Roman" w:cs="Times New Roman"/>
          <w:sz w:val="22"/>
          <w:szCs w:val="22"/>
          <w:lang w:val="en-US"/>
        </w:rPr>
        <w:t>).</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En el mismo orden de ideas, el artículo 24 de nuestra Carta Magna, consagra el principio de irretroactividad de la norma jurídica en materia penal, el cual pone de relieve como regla que ninguna norma jurídica puede ser aplicada a situaciones ocurridas antes de su entrada en vigencia, salvo que: a) imponga una pena menor; b) se trate de normas adjetivas cuya aplicación será inmediata; o c) beneficie a la rea o al reo. Principio </w:t>
      </w:r>
      <w:proofErr w:type="gramStart"/>
      <w:r w:rsidRPr="006E681A">
        <w:rPr>
          <w:rFonts w:ascii="Times New Roman" w:hAnsi="Times New Roman" w:cs="Times New Roman"/>
          <w:sz w:val="22"/>
          <w:szCs w:val="22"/>
          <w:lang w:val="en-US"/>
        </w:rPr>
        <w:t>este</w:t>
      </w:r>
      <w:proofErr w:type="gramEnd"/>
      <w:r w:rsidRPr="006E681A">
        <w:rPr>
          <w:rFonts w:ascii="Times New Roman" w:hAnsi="Times New Roman" w:cs="Times New Roman"/>
          <w:sz w:val="22"/>
          <w:szCs w:val="22"/>
          <w:lang w:val="en-US"/>
        </w:rPr>
        <w:t xml:space="preserve"> cuya aplicación se ha extendido en otros ámbitos del derecho, como por ejemplo en el campo del Derecho Tributario y en el del Derecho Laboral.</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Reconoce esta Sala Político-Administrativa como principio general del Derecho, que las normas deben tener efectos a partir del momento en que son publicadas y no antes, vale decir, que la regla fundamental conocida por su aforismo latino </w:t>
      </w:r>
      <w:r w:rsidRPr="006E681A">
        <w:rPr>
          <w:rFonts w:ascii="Times New Roman" w:hAnsi="Times New Roman" w:cs="Times New Roman"/>
          <w:i/>
          <w:iCs/>
          <w:sz w:val="22"/>
          <w:szCs w:val="22"/>
          <w:lang w:val="en-US"/>
        </w:rPr>
        <w:t>“tempus regit actum”</w:t>
      </w:r>
      <w:r w:rsidRPr="006E681A">
        <w:rPr>
          <w:rFonts w:ascii="Times New Roman" w:hAnsi="Times New Roman" w:cs="Times New Roman"/>
          <w:sz w:val="22"/>
          <w:szCs w:val="22"/>
          <w:lang w:val="en-US"/>
        </w:rPr>
        <w:t>,</w:t>
      </w:r>
      <w:r w:rsidRPr="006E681A">
        <w:rPr>
          <w:rFonts w:ascii="Times New Roman" w:hAnsi="Times New Roman" w:cs="Times New Roman"/>
          <w:i/>
          <w:iCs/>
          <w:sz w:val="22"/>
          <w:szCs w:val="22"/>
          <w:lang w:val="en-US"/>
        </w:rPr>
        <w:t xml:space="preserve"> </w:t>
      </w:r>
      <w:r w:rsidRPr="006E681A">
        <w:rPr>
          <w:rFonts w:ascii="Times New Roman" w:hAnsi="Times New Roman" w:cs="Times New Roman"/>
          <w:sz w:val="22"/>
          <w:szCs w:val="22"/>
          <w:lang w:val="en-US"/>
        </w:rPr>
        <w:t xml:space="preserve">es que los actos y las relaciones se regulen por la ley vigente en el momento en que ocurrieron. Así, la retroactividad se manifiesta en el ámbito </w:t>
      </w:r>
      <w:proofErr w:type="gramStart"/>
      <w:r w:rsidRPr="006E681A">
        <w:rPr>
          <w:rFonts w:ascii="Times New Roman" w:hAnsi="Times New Roman" w:cs="Times New Roman"/>
          <w:sz w:val="22"/>
          <w:szCs w:val="22"/>
          <w:lang w:val="en-US"/>
        </w:rPr>
        <w:t>del</w:t>
      </w:r>
      <w:proofErr w:type="gramEnd"/>
      <w:r w:rsidRPr="006E681A">
        <w:rPr>
          <w:rFonts w:ascii="Times New Roman" w:hAnsi="Times New Roman" w:cs="Times New Roman"/>
          <w:sz w:val="22"/>
          <w:szCs w:val="22"/>
          <w:lang w:val="en-US"/>
        </w:rPr>
        <w:t xml:space="preserve"> </w:t>
      </w:r>
      <w:hyperlink r:id="rId15" w:history="1">
        <w:r w:rsidRPr="006E681A">
          <w:rPr>
            <w:rFonts w:ascii="Times New Roman" w:hAnsi="Times New Roman" w:cs="Times New Roman"/>
            <w:sz w:val="22"/>
            <w:szCs w:val="22"/>
            <w:lang w:val="en-US"/>
          </w:rPr>
          <w:t>derecho laboral</w:t>
        </w:r>
      </w:hyperlink>
      <w:r w:rsidRPr="006E681A">
        <w:rPr>
          <w:rFonts w:ascii="Times New Roman" w:hAnsi="Times New Roman" w:cs="Times New Roman"/>
          <w:sz w:val="22"/>
          <w:szCs w:val="22"/>
          <w:lang w:val="en-US"/>
        </w:rPr>
        <w:t>, cuando se aplica la norma más reciente por ser más favorable al trabajador.</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Por las razones que anteceden, en función de los postulados constitucionales que orientan al sistema de la seguridad social, el principio constitucional en materia laboral referido a la </w:t>
      </w:r>
      <w:r w:rsidRPr="006E681A">
        <w:rPr>
          <w:rFonts w:ascii="Times New Roman" w:hAnsi="Times New Roman" w:cs="Times New Roman"/>
          <w:b/>
          <w:bCs/>
          <w:i/>
          <w:iCs/>
          <w:sz w:val="22"/>
          <w:szCs w:val="22"/>
          <w:lang w:val="en-US"/>
        </w:rPr>
        <w:t xml:space="preserve">“protección o de tutela de los trabajadores” </w:t>
      </w:r>
      <w:r w:rsidRPr="006E681A">
        <w:rPr>
          <w:rFonts w:ascii="Times New Roman" w:hAnsi="Times New Roman" w:cs="Times New Roman"/>
          <w:sz w:val="22"/>
          <w:szCs w:val="22"/>
          <w:lang w:val="en-US"/>
        </w:rPr>
        <w:t>en su expresión del</w:t>
      </w:r>
      <w:r w:rsidRPr="006E681A">
        <w:rPr>
          <w:rFonts w:ascii="Times New Roman" w:hAnsi="Times New Roman" w:cs="Times New Roman"/>
          <w:b/>
          <w:bCs/>
          <w:sz w:val="22"/>
          <w:szCs w:val="22"/>
          <w:lang w:val="en-US"/>
        </w:rPr>
        <w:t xml:space="preserve"> “</w:t>
      </w:r>
      <w:r w:rsidRPr="006E681A">
        <w:rPr>
          <w:rFonts w:ascii="Times New Roman" w:hAnsi="Times New Roman" w:cs="Times New Roman"/>
          <w:i/>
          <w:iCs/>
          <w:sz w:val="22"/>
          <w:szCs w:val="22"/>
          <w:lang w:val="en-US"/>
        </w:rPr>
        <w:t>principio de favor”</w:t>
      </w:r>
      <w:r w:rsidRPr="006E681A">
        <w:rPr>
          <w:rFonts w:ascii="Times New Roman" w:hAnsi="Times New Roman" w:cs="Times New Roman"/>
          <w:sz w:val="22"/>
          <w:szCs w:val="22"/>
          <w:lang w:val="en-US"/>
        </w:rPr>
        <w:t xml:space="preserve"> o </w:t>
      </w:r>
      <w:r w:rsidRPr="006E681A">
        <w:rPr>
          <w:rFonts w:ascii="Times New Roman" w:hAnsi="Times New Roman" w:cs="Times New Roman"/>
          <w:i/>
          <w:iCs/>
          <w:sz w:val="22"/>
          <w:szCs w:val="22"/>
          <w:lang w:val="en-US"/>
        </w:rPr>
        <w:t>“in dubio pro operario”</w:t>
      </w:r>
      <w:r w:rsidRPr="006E681A">
        <w:rPr>
          <w:rFonts w:ascii="Times New Roman" w:hAnsi="Times New Roman" w:cs="Times New Roman"/>
          <w:sz w:val="22"/>
          <w:szCs w:val="22"/>
          <w:lang w:val="en-US"/>
        </w:rPr>
        <w:t>, incluida la aplicación retroactiva de las normas cuando beneficien a la trabajadora o el trabajador; esta Alzada estima que la base para el cálculo de los aportes al Fondo de Ahorro Obligatorio para la Vivienda (FAOV) es el salario integral, siendo la base correcta que sustenta la disponibilidad y fluctuación de los recursos financieros necesarios para el Fondo, al permitir que los recursos se usen para el financiamiento justo de créditos por todo el universo de personas que cotizan en el aludido sistema.</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Aunado a lo anterior, se constata que la intención del Constituyente como la del legislador ha sido la de procurar a la mayor cantidad de ahorristas el acceso a una vivienda adecuada, segura, cómoda, higiénica, con servicios básicos esenciales que incluyan un hábitat que humanice las relaciones familiares, vecinales y comunitarias, mediante el crédito hipotecario, tal como lo expresa el artículo 82 de la Constitución de la República Bolivariana de Venezuela.</w:t>
      </w:r>
    </w:p>
    <w:p w:rsidR="00603A26" w:rsidRPr="006E681A" w:rsidRDefault="00603A26" w:rsidP="00603A26">
      <w:pPr>
        <w:widowControl w:val="0"/>
        <w:autoSpaceDE w:val="0"/>
        <w:autoSpaceDN w:val="0"/>
        <w:adjustRightInd w:val="0"/>
        <w:spacing w:after="160"/>
        <w:ind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Con fundamento en lo expresado y examinadas las actas procesales que conforman el expediente, se evidencia que la funcionaria actuante adscrita al Banco Nacional de Vivienda y Hábitat (BANAVIH) estableció a cargo de la sociedad mercantil ACBL de Venezuela, C.A., el pago de las diferencias no depositadas por los conceptos de vacaciones, bonificaciones y utilidades correspondientes a los años 2003 y 2008, por la suma de Un Millón Setecientos Un Mil Doscientos Cincuenta y Nueve Bolívares con Sesenta y Ocho Céntimos (Bs.1.701.259,68), así como los </w:t>
      </w:r>
      <w:r w:rsidRPr="006E681A">
        <w:rPr>
          <w:rFonts w:ascii="Times New Roman" w:hAnsi="Times New Roman" w:cs="Times New Roman"/>
          <w:i/>
          <w:iCs/>
          <w:sz w:val="22"/>
          <w:szCs w:val="22"/>
          <w:lang w:val="en-US"/>
        </w:rPr>
        <w:t>“rendimientos”</w:t>
      </w:r>
      <w:r w:rsidRPr="006E681A">
        <w:rPr>
          <w:rFonts w:ascii="Times New Roman" w:hAnsi="Times New Roman" w:cs="Times New Roman"/>
          <w:sz w:val="22"/>
          <w:szCs w:val="22"/>
          <w:lang w:val="en-US"/>
        </w:rPr>
        <w:t xml:space="preserve"> (intereses devengados por los fondos no depositados) calculados hasta el mes de octubre de 2008 en Cuatrocientos Cuarenta y Nueve Mil Setecientos Catorce Bolívares con Dieciocho Céntimos (Bs. 449.714,18), los cuales ascienden a la cantidad total de Dos Millones Ciento Cincuenta Mil Novecientos Cincuenta y Tres Bolívares con Ochenta y Siete Céntimos (Bs. 2.150.953,87).</w:t>
      </w:r>
    </w:p>
    <w:p w:rsidR="00603A26" w:rsidRPr="006E681A" w:rsidRDefault="00603A26" w:rsidP="00603A26">
      <w:pPr>
        <w:widowControl w:val="0"/>
        <w:autoSpaceDE w:val="0"/>
        <w:autoSpaceDN w:val="0"/>
        <w:adjustRightInd w:val="0"/>
        <w:spacing w:after="160"/>
        <w:ind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Asimismo, la Gerente de Fiscalización </w:t>
      </w:r>
      <w:proofErr w:type="gramStart"/>
      <w:r w:rsidRPr="006E681A">
        <w:rPr>
          <w:rFonts w:ascii="Times New Roman" w:hAnsi="Times New Roman" w:cs="Times New Roman"/>
          <w:sz w:val="22"/>
          <w:szCs w:val="22"/>
          <w:lang w:val="en-US"/>
        </w:rPr>
        <w:t>del</w:t>
      </w:r>
      <w:proofErr w:type="gramEnd"/>
      <w:r w:rsidRPr="006E681A">
        <w:rPr>
          <w:rFonts w:ascii="Times New Roman" w:hAnsi="Times New Roman" w:cs="Times New Roman"/>
          <w:sz w:val="22"/>
          <w:szCs w:val="22"/>
          <w:lang w:val="en-US"/>
        </w:rPr>
        <w:t xml:space="preserve"> Banco Nacional de Vivienda y Hábitat (BANAVIH), adjunto al </w:t>
      </w:r>
      <w:r w:rsidRPr="006E681A">
        <w:rPr>
          <w:rFonts w:ascii="Times New Roman" w:hAnsi="Times New Roman" w:cs="Times New Roman"/>
          <w:i/>
          <w:iCs/>
          <w:sz w:val="22"/>
          <w:szCs w:val="22"/>
          <w:lang w:val="en-US"/>
        </w:rPr>
        <w:t xml:space="preserve">Oficio </w:t>
      </w:r>
      <w:r w:rsidRPr="006E681A">
        <w:rPr>
          <w:rFonts w:ascii="Times New Roman" w:hAnsi="Times New Roman" w:cs="Times New Roman"/>
          <w:sz w:val="22"/>
          <w:szCs w:val="22"/>
          <w:lang w:val="en-US"/>
        </w:rPr>
        <w:t>Nro.</w:t>
      </w:r>
      <w:r w:rsidRPr="006E681A">
        <w:rPr>
          <w:rFonts w:ascii="Times New Roman" w:hAnsi="Times New Roman" w:cs="Times New Roman"/>
          <w:i/>
          <w:iCs/>
          <w:sz w:val="22"/>
          <w:szCs w:val="22"/>
          <w:lang w:val="en-US"/>
        </w:rPr>
        <w:t xml:space="preserve"> GF-2009</w:t>
      </w:r>
      <w:r w:rsidRPr="006E681A">
        <w:rPr>
          <w:rFonts w:ascii="Times New Roman" w:hAnsi="Times New Roman" w:cs="Times New Roman"/>
          <w:sz w:val="22"/>
          <w:szCs w:val="22"/>
          <w:lang w:val="en-US"/>
        </w:rPr>
        <w:t xml:space="preserve"> de fecha 7 de abril de 2009, notificó a la empresa la </w:t>
      </w:r>
      <w:r w:rsidRPr="006E681A">
        <w:rPr>
          <w:rFonts w:ascii="Times New Roman" w:hAnsi="Times New Roman" w:cs="Times New Roman"/>
          <w:i/>
          <w:iCs/>
          <w:sz w:val="22"/>
          <w:szCs w:val="22"/>
          <w:lang w:val="en-US"/>
        </w:rPr>
        <w:t xml:space="preserve">Resolución </w:t>
      </w:r>
      <w:r w:rsidRPr="006E681A">
        <w:rPr>
          <w:rFonts w:ascii="Times New Roman" w:hAnsi="Times New Roman" w:cs="Times New Roman"/>
          <w:sz w:val="22"/>
          <w:szCs w:val="22"/>
          <w:lang w:val="en-US"/>
        </w:rPr>
        <w:t>Nro.</w:t>
      </w:r>
      <w:r w:rsidRPr="006E681A">
        <w:rPr>
          <w:rFonts w:ascii="Times New Roman" w:hAnsi="Times New Roman" w:cs="Times New Roman"/>
          <w:i/>
          <w:iCs/>
          <w:sz w:val="22"/>
          <w:szCs w:val="22"/>
          <w:lang w:val="en-US"/>
        </w:rPr>
        <w:t xml:space="preserve"> 0129</w:t>
      </w:r>
      <w:r w:rsidRPr="006E681A">
        <w:rPr>
          <w:rFonts w:ascii="Times New Roman" w:hAnsi="Times New Roman" w:cs="Times New Roman"/>
          <w:sz w:val="22"/>
          <w:szCs w:val="22"/>
          <w:lang w:val="en-US"/>
        </w:rPr>
        <w:t xml:space="preserve"> del 6 de abril del mismo año en la que señaló lo siguiente: (i)</w:t>
      </w:r>
      <w:r w:rsidRPr="006E681A">
        <w:rPr>
          <w:rFonts w:ascii="Times New Roman" w:hAnsi="Times New Roman" w:cs="Times New Roman"/>
          <w:i/>
          <w:iCs/>
          <w:sz w:val="22"/>
          <w:szCs w:val="22"/>
          <w:lang w:val="en-US"/>
        </w:rPr>
        <w:t>“</w:t>
      </w:r>
      <w:r w:rsidRPr="006E681A">
        <w:rPr>
          <w:rFonts w:ascii="Times New Roman" w:hAnsi="Times New Roman" w:cs="Times New Roman"/>
          <w:sz w:val="22"/>
          <w:szCs w:val="22"/>
          <w:lang w:val="en-US"/>
        </w:rPr>
        <w:t xml:space="preserve">(…) </w:t>
      </w:r>
      <w:r w:rsidRPr="006E681A">
        <w:rPr>
          <w:rFonts w:ascii="Times New Roman" w:hAnsi="Times New Roman" w:cs="Times New Roman"/>
          <w:i/>
          <w:iCs/>
          <w:sz w:val="22"/>
          <w:szCs w:val="22"/>
          <w:lang w:val="en-US"/>
        </w:rPr>
        <w:t xml:space="preserve">la deuda por las diferencias no depositadas ante el Fondo de Ahorro Obligatorio para la Vivienda (FAOV) asciende a la cantidad de </w:t>
      </w:r>
      <w:r w:rsidRPr="006E681A">
        <w:rPr>
          <w:rFonts w:ascii="Times New Roman" w:hAnsi="Times New Roman" w:cs="Times New Roman"/>
          <w:b/>
          <w:bCs/>
          <w:i/>
          <w:iCs/>
          <w:sz w:val="22"/>
          <w:szCs w:val="22"/>
          <w:lang w:val="en-US"/>
        </w:rPr>
        <w:t>UN MILLÓN SETECIENTOS UN MIL DOSCIENTOS TREINTA Y NUEVE BOLÍVARES CON SESENTA Y OCHO CÉNTIMOS</w:t>
      </w:r>
      <w:r w:rsidRPr="006E681A">
        <w:rPr>
          <w:rFonts w:ascii="Times New Roman" w:hAnsi="Times New Roman" w:cs="Times New Roman"/>
          <w:i/>
          <w:iCs/>
          <w:sz w:val="22"/>
          <w:szCs w:val="22"/>
          <w:lang w:val="en-US"/>
        </w:rPr>
        <w:t xml:space="preserve"> </w:t>
      </w:r>
      <w:r w:rsidRPr="006E681A">
        <w:rPr>
          <w:rFonts w:ascii="Times New Roman" w:hAnsi="Times New Roman" w:cs="Times New Roman"/>
          <w:b/>
          <w:bCs/>
          <w:i/>
          <w:iCs/>
          <w:sz w:val="22"/>
          <w:szCs w:val="22"/>
          <w:lang w:val="en-US"/>
        </w:rPr>
        <w:t>(Bs. F. 1.701.239,68 )</w:t>
      </w:r>
      <w:r w:rsidRPr="006E681A">
        <w:rPr>
          <w:rFonts w:ascii="Times New Roman" w:hAnsi="Times New Roman" w:cs="Times New Roman"/>
          <w:i/>
          <w:iCs/>
          <w:sz w:val="22"/>
          <w:szCs w:val="22"/>
          <w:lang w:val="en-US"/>
        </w:rPr>
        <w:t>”</w:t>
      </w:r>
      <w:r w:rsidRPr="006E681A">
        <w:rPr>
          <w:rFonts w:ascii="Times New Roman" w:hAnsi="Times New Roman" w:cs="Times New Roman"/>
          <w:sz w:val="22"/>
          <w:szCs w:val="22"/>
          <w:lang w:val="en-US"/>
        </w:rPr>
        <w:t xml:space="preserve">; (ii) </w:t>
      </w:r>
      <w:r w:rsidRPr="006E681A">
        <w:rPr>
          <w:rFonts w:ascii="Times New Roman" w:hAnsi="Times New Roman" w:cs="Times New Roman"/>
          <w:i/>
          <w:iCs/>
          <w:sz w:val="22"/>
          <w:szCs w:val="22"/>
          <w:lang w:val="en-US"/>
        </w:rPr>
        <w:t>“</w:t>
      </w:r>
      <w:r w:rsidRPr="006E681A">
        <w:rPr>
          <w:rFonts w:ascii="Times New Roman" w:hAnsi="Times New Roman" w:cs="Times New Roman"/>
          <w:sz w:val="22"/>
          <w:szCs w:val="22"/>
          <w:lang w:val="en-US"/>
        </w:rPr>
        <w:t xml:space="preserve">(…) </w:t>
      </w:r>
      <w:r w:rsidRPr="006E681A">
        <w:rPr>
          <w:rFonts w:ascii="Times New Roman" w:hAnsi="Times New Roman" w:cs="Times New Roman"/>
          <w:i/>
          <w:iCs/>
          <w:sz w:val="22"/>
          <w:szCs w:val="22"/>
          <w:lang w:val="en-US"/>
        </w:rPr>
        <w:t xml:space="preserve">los rendimientos </w:t>
      </w:r>
      <w:r w:rsidRPr="006E681A">
        <w:rPr>
          <w:rFonts w:ascii="Times New Roman" w:hAnsi="Times New Roman" w:cs="Times New Roman"/>
          <w:sz w:val="22"/>
          <w:szCs w:val="22"/>
          <w:lang w:val="en-US"/>
        </w:rPr>
        <w:t>(…)</w:t>
      </w:r>
      <w:r w:rsidRPr="006E681A">
        <w:rPr>
          <w:rFonts w:ascii="Times New Roman" w:hAnsi="Times New Roman" w:cs="Times New Roman"/>
          <w:i/>
          <w:iCs/>
          <w:sz w:val="22"/>
          <w:szCs w:val="22"/>
          <w:lang w:val="en-US"/>
        </w:rPr>
        <w:t xml:space="preserve"> para los períodos 2001-2002-2003-2004 hasta mayo 2005 y a partir de junio </w:t>
      </w:r>
      <w:r w:rsidRPr="006E681A">
        <w:rPr>
          <w:rFonts w:ascii="Times New Roman" w:hAnsi="Times New Roman" w:cs="Times New Roman"/>
          <w:i/>
          <w:iCs/>
          <w:sz w:val="22"/>
          <w:szCs w:val="22"/>
          <w:lang w:val="en-US"/>
        </w:rPr>
        <w:lastRenderedPageBreak/>
        <w:t xml:space="preserve">de 2005 hasta la fecha; por </w:t>
      </w:r>
      <w:r w:rsidRPr="006E681A">
        <w:rPr>
          <w:rFonts w:ascii="Times New Roman" w:hAnsi="Times New Roman" w:cs="Times New Roman"/>
          <w:sz w:val="22"/>
          <w:szCs w:val="22"/>
          <w:lang w:val="en-US"/>
        </w:rPr>
        <w:t>(…)</w:t>
      </w:r>
      <w:r w:rsidRPr="006E681A">
        <w:rPr>
          <w:rFonts w:ascii="Times New Roman" w:hAnsi="Times New Roman" w:cs="Times New Roman"/>
          <w:i/>
          <w:iCs/>
          <w:sz w:val="22"/>
          <w:szCs w:val="22"/>
          <w:lang w:val="en-US"/>
        </w:rPr>
        <w:t xml:space="preserve"> la cantidad correspondiente es de </w:t>
      </w:r>
      <w:r w:rsidRPr="006E681A">
        <w:rPr>
          <w:rFonts w:ascii="Times New Roman" w:hAnsi="Times New Roman" w:cs="Times New Roman"/>
          <w:b/>
          <w:bCs/>
          <w:i/>
          <w:iCs/>
          <w:sz w:val="22"/>
          <w:szCs w:val="22"/>
          <w:lang w:val="en-US"/>
        </w:rPr>
        <w:t>QUINIENTOS CINCUENTA Y DOS MIL NOVECIENTOS VEINTINUEVE BOLÍVARES CON TREINTA Y SIETE CÉNTIMOS</w:t>
      </w:r>
      <w:r w:rsidRPr="006E681A">
        <w:rPr>
          <w:rFonts w:ascii="Times New Roman" w:hAnsi="Times New Roman" w:cs="Times New Roman"/>
          <w:i/>
          <w:iCs/>
          <w:sz w:val="22"/>
          <w:szCs w:val="22"/>
          <w:lang w:val="en-US"/>
        </w:rPr>
        <w:t xml:space="preserve"> </w:t>
      </w:r>
      <w:r w:rsidRPr="006E681A">
        <w:rPr>
          <w:rFonts w:ascii="Times New Roman" w:hAnsi="Times New Roman" w:cs="Times New Roman"/>
          <w:b/>
          <w:bCs/>
          <w:i/>
          <w:iCs/>
          <w:sz w:val="22"/>
          <w:szCs w:val="22"/>
          <w:lang w:val="en-US"/>
        </w:rPr>
        <w:t>(Bs. F. 552.929,37)</w:t>
      </w:r>
      <w:r w:rsidRPr="006E681A">
        <w:rPr>
          <w:rFonts w:ascii="Times New Roman" w:hAnsi="Times New Roman" w:cs="Times New Roman"/>
          <w:sz w:val="22"/>
          <w:szCs w:val="22"/>
          <w:lang w:val="en-US"/>
        </w:rPr>
        <w:t xml:space="preserve"> (…) </w:t>
      </w:r>
      <w:r w:rsidRPr="006E681A">
        <w:rPr>
          <w:rFonts w:ascii="Times New Roman" w:hAnsi="Times New Roman" w:cs="Times New Roman"/>
          <w:i/>
          <w:iCs/>
          <w:sz w:val="22"/>
          <w:szCs w:val="22"/>
          <w:lang w:val="en-US"/>
        </w:rPr>
        <w:t xml:space="preserve">y en consecuencia el monto total asciende a la cantidad de </w:t>
      </w:r>
      <w:r w:rsidRPr="006E681A">
        <w:rPr>
          <w:rFonts w:ascii="Times New Roman" w:hAnsi="Times New Roman" w:cs="Times New Roman"/>
          <w:b/>
          <w:bCs/>
          <w:i/>
          <w:iCs/>
          <w:sz w:val="22"/>
          <w:szCs w:val="22"/>
          <w:lang w:val="en-US"/>
        </w:rPr>
        <w:t>DOS MILLONES DOSCIENTOS CINCUENTA Y CUATRO MIL CIENTO SESENTA Y NUEVE BOLÍVARES CON CINCO CÉNTIMOS (Bs. F. 2.254.169,05)</w:t>
      </w:r>
      <w:r w:rsidRPr="006E681A">
        <w:rPr>
          <w:rFonts w:ascii="Times New Roman" w:hAnsi="Times New Roman" w:cs="Times New Roman"/>
          <w:i/>
          <w:iCs/>
          <w:sz w:val="22"/>
          <w:szCs w:val="22"/>
          <w:lang w:val="en-US"/>
        </w:rPr>
        <w:t xml:space="preserve"> </w:t>
      </w:r>
      <w:r w:rsidRPr="006E681A">
        <w:rPr>
          <w:rFonts w:ascii="Times New Roman" w:hAnsi="Times New Roman" w:cs="Times New Roman"/>
          <w:sz w:val="22"/>
          <w:szCs w:val="22"/>
          <w:lang w:val="en-US"/>
        </w:rPr>
        <w:t>(…)</w:t>
      </w:r>
      <w:r w:rsidRPr="006E681A">
        <w:rPr>
          <w:rFonts w:ascii="Times New Roman" w:hAnsi="Times New Roman" w:cs="Times New Roman"/>
          <w:i/>
          <w:iCs/>
          <w:sz w:val="22"/>
          <w:szCs w:val="22"/>
          <w:lang w:val="en-US"/>
        </w:rPr>
        <w:t>”</w:t>
      </w:r>
      <w:r w:rsidRPr="006E681A">
        <w:rPr>
          <w:rFonts w:ascii="Times New Roman" w:hAnsi="Times New Roman" w:cs="Times New Roman"/>
          <w:sz w:val="22"/>
          <w:szCs w:val="22"/>
          <w:lang w:val="en-US"/>
        </w:rPr>
        <w:t>.</w:t>
      </w:r>
    </w:p>
    <w:p w:rsidR="00603A26" w:rsidRPr="006E681A" w:rsidRDefault="00603A26" w:rsidP="00603A26">
      <w:pPr>
        <w:widowControl w:val="0"/>
        <w:autoSpaceDE w:val="0"/>
        <w:autoSpaceDN w:val="0"/>
        <w:adjustRightInd w:val="0"/>
        <w:spacing w:after="160"/>
        <w:ind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De los actos administrativos señalados se desprende que el concepto utilizado por la Gerencia de Fiscalización del Banco Nacional de Vivienda y Hábitat (BANAVIH) para calcular los aportes al Fondo de Ahorro Obligatorio para la Vivienda (FAOV), corresponden al criterio de salario integral, en razón de lo cual esta Sala Político-Administrativa encuentra ajustada a derecho la base de cálculo utilizada en el acto administrativo impugnado. En consecuencia, se desestima la denuncia efectuada por la representación judicial de la recurrente sobre </w:t>
      </w:r>
      <w:proofErr w:type="gramStart"/>
      <w:r w:rsidRPr="006E681A">
        <w:rPr>
          <w:rFonts w:ascii="Times New Roman" w:hAnsi="Times New Roman" w:cs="Times New Roman"/>
          <w:sz w:val="22"/>
          <w:szCs w:val="22"/>
          <w:lang w:val="en-US"/>
        </w:rPr>
        <w:t>este</w:t>
      </w:r>
      <w:proofErr w:type="gramEnd"/>
      <w:r w:rsidRPr="006E681A">
        <w:rPr>
          <w:rFonts w:ascii="Times New Roman" w:hAnsi="Times New Roman" w:cs="Times New Roman"/>
          <w:sz w:val="22"/>
          <w:szCs w:val="22"/>
          <w:lang w:val="en-US"/>
        </w:rPr>
        <w:t xml:space="preserve"> particular. Así se declara.</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Por otra parte, en cuanto a los rendimientos</w:t>
      </w:r>
      <w:r w:rsidRPr="006E681A">
        <w:rPr>
          <w:rFonts w:ascii="Times New Roman" w:hAnsi="Times New Roman" w:cs="Times New Roman"/>
          <w:i/>
          <w:iCs/>
          <w:sz w:val="22"/>
          <w:szCs w:val="22"/>
          <w:lang w:val="en-US"/>
        </w:rPr>
        <w:t xml:space="preserve"> </w:t>
      </w:r>
      <w:r w:rsidRPr="006E681A">
        <w:rPr>
          <w:rFonts w:ascii="Times New Roman" w:hAnsi="Times New Roman" w:cs="Times New Roman"/>
          <w:sz w:val="22"/>
          <w:szCs w:val="22"/>
          <w:lang w:val="en-US"/>
        </w:rPr>
        <w:t>a pagar correspondientes a los aportes omitidos durante los años civiles 2003, 2004, 2005, 2006, 2007 y 2008 y que fueron calculados hasta febrero de 2009, observa la Sala que al ser éstos accesorios a la obligación principal, igualmente, deben ser declarados procedentes. Así se establece.</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Señala, asimismo la recurrente, que el acto impugnado no tomó en cuenta lo previsto en el artículo 116 de la Ley Orgánica del Sistema de Seguridad Social para el cálculo de los aportes de la empresa, por cuya razón debe declararse la nulidad absoluta de la </w:t>
      </w:r>
      <w:r w:rsidRPr="006E681A">
        <w:rPr>
          <w:rFonts w:ascii="Times New Roman" w:hAnsi="Times New Roman" w:cs="Times New Roman"/>
          <w:i/>
          <w:iCs/>
          <w:sz w:val="22"/>
          <w:szCs w:val="22"/>
          <w:lang w:val="en-US"/>
        </w:rPr>
        <w:t xml:space="preserve">Resolución </w:t>
      </w:r>
      <w:r w:rsidRPr="006E681A">
        <w:rPr>
          <w:rFonts w:ascii="Times New Roman" w:hAnsi="Times New Roman" w:cs="Times New Roman"/>
          <w:sz w:val="22"/>
          <w:szCs w:val="22"/>
          <w:lang w:val="en-US"/>
        </w:rPr>
        <w:t>Nro.</w:t>
      </w:r>
      <w:r w:rsidRPr="006E681A">
        <w:rPr>
          <w:rFonts w:ascii="Times New Roman" w:hAnsi="Times New Roman" w:cs="Times New Roman"/>
          <w:i/>
          <w:iCs/>
          <w:sz w:val="22"/>
          <w:szCs w:val="22"/>
          <w:lang w:val="en-US"/>
        </w:rPr>
        <w:t xml:space="preserve"> 0129 </w:t>
      </w:r>
      <w:r w:rsidRPr="006E681A">
        <w:rPr>
          <w:rFonts w:ascii="Times New Roman" w:hAnsi="Times New Roman" w:cs="Times New Roman"/>
          <w:sz w:val="22"/>
          <w:szCs w:val="22"/>
          <w:lang w:val="en-US"/>
        </w:rPr>
        <w:t>de fecha 6 de abril de 2009, conforme a lo establecido en el numeral 4 del artículo 19 de la Ley Orgánica de Procedimientos Administrativos y el numeral 4 del artículo 240 del Código Orgánico de 2001.</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Respecto a esta afirmación de la recurrente, cabe examinar el artículo 116 de la Ley Orgánica del Sistema de Seguridad Social publicada en la Gaceta Oficial de la República Bolivariana de Venezuela Nro. 37.600 </w:t>
      </w:r>
      <w:proofErr w:type="gramStart"/>
      <w:r w:rsidRPr="006E681A">
        <w:rPr>
          <w:rFonts w:ascii="Times New Roman" w:hAnsi="Times New Roman" w:cs="Times New Roman"/>
          <w:sz w:val="22"/>
          <w:szCs w:val="22"/>
          <w:lang w:val="en-US"/>
        </w:rPr>
        <w:t>del</w:t>
      </w:r>
      <w:proofErr w:type="gramEnd"/>
      <w:r w:rsidRPr="006E681A">
        <w:rPr>
          <w:rFonts w:ascii="Times New Roman" w:hAnsi="Times New Roman" w:cs="Times New Roman"/>
          <w:sz w:val="22"/>
          <w:szCs w:val="22"/>
          <w:lang w:val="en-US"/>
        </w:rPr>
        <w:t xml:space="preserve"> 30 de diciembre de 2002, el cual prevé lo siguiente:</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i/>
          <w:iCs/>
          <w:sz w:val="22"/>
          <w:szCs w:val="22"/>
          <w:lang w:val="en-US"/>
        </w:rPr>
        <w:t>“</w:t>
      </w:r>
      <w:r w:rsidRPr="006E681A">
        <w:rPr>
          <w:rFonts w:ascii="Times New Roman" w:hAnsi="Times New Roman" w:cs="Times New Roman"/>
          <w:b/>
          <w:bCs/>
          <w:i/>
          <w:iCs/>
          <w:sz w:val="22"/>
          <w:szCs w:val="22"/>
          <w:lang w:val="en-US"/>
        </w:rPr>
        <w:t>Artículo 116.</w:t>
      </w:r>
      <w:r w:rsidRPr="006E681A">
        <w:rPr>
          <w:rFonts w:ascii="Times New Roman" w:hAnsi="Times New Roman" w:cs="Times New Roman"/>
          <w:i/>
          <w:iCs/>
          <w:sz w:val="22"/>
          <w:szCs w:val="22"/>
          <w:lang w:val="en-US"/>
        </w:rPr>
        <w:t xml:space="preserve"> La base contributiva para el cálculo de las cotizaciones, tendrá </w:t>
      </w:r>
      <w:proofErr w:type="gramStart"/>
      <w:r w:rsidRPr="006E681A">
        <w:rPr>
          <w:rFonts w:ascii="Times New Roman" w:hAnsi="Times New Roman" w:cs="Times New Roman"/>
          <w:i/>
          <w:iCs/>
          <w:sz w:val="22"/>
          <w:szCs w:val="22"/>
          <w:lang w:val="en-US"/>
        </w:rPr>
        <w:t>como</w:t>
      </w:r>
      <w:proofErr w:type="gramEnd"/>
      <w:r w:rsidRPr="006E681A">
        <w:rPr>
          <w:rFonts w:ascii="Times New Roman" w:hAnsi="Times New Roman" w:cs="Times New Roman"/>
          <w:i/>
          <w:iCs/>
          <w:sz w:val="22"/>
          <w:szCs w:val="22"/>
          <w:lang w:val="en-US"/>
        </w:rPr>
        <w:t xml:space="preserve"> límite inferior el monto del salario mínimo urbano y como límite superior diez (10) salarios mínimos urbanos, los cuales podrán ser modificados gradualmente conforme a lo establecido en las leyes de los regímenes prestacionales.”</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De la norma transcrita se desprende que el legislador estableció como base de cálculo de las cotizaciones un límite mínimo, representado por el monto de un salario urbano, y un límite superior constituido por diez salarios mínimos urbanos, dando la posibilidad de que los mencionados límites puedan modificarse conforme a la Ley especial que regule el régimen prestacional respectivo, vale decir, en el caso concreto, la Ley del Régimen Prestacional de Vivienda y Hábitat.</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Por su parte, el Decreto Nro. 6.243 del 22 de julio de 2008, contentivo del Decreto con Rango, Valor y Fuerza de Ley de Reforma Parcial de la Ley Orgánica del Sistema de Seguridad Social, publicado en la Gaceta Oficial de la República Bolivariana de Venezuela Nro. 5.891 Extraordinario del 31 de </w:t>
      </w:r>
      <w:proofErr w:type="gramStart"/>
      <w:r w:rsidRPr="006E681A">
        <w:rPr>
          <w:rFonts w:ascii="Times New Roman" w:hAnsi="Times New Roman" w:cs="Times New Roman"/>
          <w:sz w:val="22"/>
          <w:szCs w:val="22"/>
          <w:lang w:val="en-US"/>
        </w:rPr>
        <w:t>julio</w:t>
      </w:r>
      <w:proofErr w:type="gramEnd"/>
      <w:r w:rsidRPr="006E681A">
        <w:rPr>
          <w:rFonts w:ascii="Times New Roman" w:hAnsi="Times New Roman" w:cs="Times New Roman"/>
          <w:sz w:val="22"/>
          <w:szCs w:val="22"/>
          <w:lang w:val="en-US"/>
        </w:rPr>
        <w:t xml:space="preserve"> de 2008, en su artículo 116 preceptúa lo que a continuación se transcribe:</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i/>
          <w:iCs/>
          <w:sz w:val="22"/>
          <w:szCs w:val="22"/>
          <w:lang w:val="en-US"/>
        </w:rPr>
        <w:t>“</w:t>
      </w:r>
      <w:r w:rsidRPr="006E681A">
        <w:rPr>
          <w:rFonts w:ascii="Times New Roman" w:hAnsi="Times New Roman" w:cs="Times New Roman"/>
          <w:b/>
          <w:bCs/>
          <w:i/>
          <w:iCs/>
          <w:sz w:val="22"/>
          <w:szCs w:val="22"/>
          <w:lang w:val="en-US"/>
        </w:rPr>
        <w:t>Artículo 116.</w:t>
      </w:r>
      <w:r w:rsidRPr="006E681A">
        <w:rPr>
          <w:rFonts w:ascii="Times New Roman" w:hAnsi="Times New Roman" w:cs="Times New Roman"/>
          <w:i/>
          <w:iCs/>
          <w:sz w:val="22"/>
          <w:szCs w:val="22"/>
          <w:lang w:val="en-US"/>
        </w:rPr>
        <w:t xml:space="preserve"> La base contributiva para el cálculo de las cotizaciones, tendrá </w:t>
      </w:r>
      <w:proofErr w:type="gramStart"/>
      <w:r w:rsidRPr="006E681A">
        <w:rPr>
          <w:rFonts w:ascii="Times New Roman" w:hAnsi="Times New Roman" w:cs="Times New Roman"/>
          <w:i/>
          <w:iCs/>
          <w:sz w:val="22"/>
          <w:szCs w:val="22"/>
          <w:lang w:val="en-US"/>
        </w:rPr>
        <w:t>como</w:t>
      </w:r>
      <w:proofErr w:type="gramEnd"/>
      <w:r w:rsidRPr="006E681A">
        <w:rPr>
          <w:rFonts w:ascii="Times New Roman" w:hAnsi="Times New Roman" w:cs="Times New Roman"/>
          <w:i/>
          <w:iCs/>
          <w:sz w:val="22"/>
          <w:szCs w:val="22"/>
          <w:lang w:val="en-US"/>
        </w:rPr>
        <w:t xml:space="preserve"> límite inferior el monto del salario mínimo urbano y como límite superior diez (10) salarios mínimos </w:t>
      </w:r>
      <w:r w:rsidRPr="006E681A">
        <w:rPr>
          <w:rFonts w:ascii="Times New Roman" w:hAnsi="Times New Roman" w:cs="Times New Roman"/>
          <w:i/>
          <w:iCs/>
          <w:sz w:val="22"/>
          <w:szCs w:val="22"/>
          <w:lang w:val="en-US"/>
        </w:rPr>
        <w:lastRenderedPageBreak/>
        <w:t>urbanos, los cuales podrán ser modificados gradualmente conforme a lo establecido en las leyes de los regímenes prestacionales.</w:t>
      </w:r>
    </w:p>
    <w:p w:rsidR="00603A26" w:rsidRPr="006E681A" w:rsidRDefault="00603A26" w:rsidP="00603A26">
      <w:pPr>
        <w:widowControl w:val="0"/>
        <w:autoSpaceDE w:val="0"/>
        <w:autoSpaceDN w:val="0"/>
        <w:adjustRightInd w:val="0"/>
        <w:spacing w:after="260"/>
        <w:ind w:left="1500" w:right="1400"/>
        <w:jc w:val="both"/>
        <w:rPr>
          <w:rFonts w:ascii="Times New Roman" w:hAnsi="Times New Roman" w:cs="Times New Roman"/>
          <w:sz w:val="22"/>
          <w:szCs w:val="22"/>
          <w:lang w:val="en-US"/>
        </w:rPr>
      </w:pPr>
      <w:r w:rsidRPr="006E681A">
        <w:rPr>
          <w:rFonts w:ascii="Times New Roman" w:hAnsi="Times New Roman" w:cs="Times New Roman"/>
          <w:i/>
          <w:iCs/>
          <w:sz w:val="22"/>
          <w:szCs w:val="22"/>
          <w:lang w:val="en-US"/>
        </w:rPr>
        <w:t xml:space="preserve">Para la base de las cotizaciones </w:t>
      </w:r>
      <w:proofErr w:type="gramStart"/>
      <w:r w:rsidRPr="006E681A">
        <w:rPr>
          <w:rFonts w:ascii="Times New Roman" w:hAnsi="Times New Roman" w:cs="Times New Roman"/>
          <w:i/>
          <w:iCs/>
          <w:sz w:val="22"/>
          <w:szCs w:val="22"/>
          <w:lang w:val="en-US"/>
        </w:rPr>
        <w:t>del</w:t>
      </w:r>
      <w:proofErr w:type="gramEnd"/>
      <w:r w:rsidRPr="006E681A">
        <w:rPr>
          <w:rFonts w:ascii="Times New Roman" w:hAnsi="Times New Roman" w:cs="Times New Roman"/>
          <w:i/>
          <w:iCs/>
          <w:sz w:val="22"/>
          <w:szCs w:val="22"/>
          <w:lang w:val="en-US"/>
        </w:rPr>
        <w:t xml:space="preserve"> Régimen Prestacional de Vivienda y Hábitat, </w:t>
      </w:r>
      <w:r w:rsidRPr="006E681A">
        <w:rPr>
          <w:rFonts w:ascii="Times New Roman" w:hAnsi="Times New Roman" w:cs="Times New Roman"/>
          <w:b/>
          <w:bCs/>
          <w:i/>
          <w:iCs/>
          <w:sz w:val="22"/>
          <w:szCs w:val="22"/>
          <w:lang w:val="en-US"/>
        </w:rPr>
        <w:t>se establece únicamente el salario mínimo obligatorio como límite inferior, a fin de no excluir de este régimen a los trabajadores que superen los diez (10) salarios mínimos como ingreso mensual</w:t>
      </w:r>
      <w:r w:rsidRPr="006E681A">
        <w:rPr>
          <w:rFonts w:ascii="Times New Roman" w:hAnsi="Times New Roman" w:cs="Times New Roman"/>
          <w:i/>
          <w:iCs/>
          <w:sz w:val="22"/>
          <w:szCs w:val="22"/>
          <w:lang w:val="en-US"/>
        </w:rPr>
        <w:t xml:space="preserve">.” </w:t>
      </w:r>
      <w:r w:rsidRPr="006E681A">
        <w:rPr>
          <w:rFonts w:ascii="Times New Roman" w:hAnsi="Times New Roman" w:cs="Times New Roman"/>
          <w:sz w:val="22"/>
          <w:szCs w:val="22"/>
          <w:lang w:val="en-US"/>
        </w:rPr>
        <w:t>(Destacado de la Sala)</w:t>
      </w:r>
    </w:p>
    <w:p w:rsidR="00603A26" w:rsidRPr="006E681A" w:rsidRDefault="00603A26" w:rsidP="00603A26">
      <w:pPr>
        <w:widowControl w:val="0"/>
        <w:autoSpaceDE w:val="0"/>
        <w:autoSpaceDN w:val="0"/>
        <w:adjustRightInd w:val="0"/>
        <w:spacing w:after="10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La citada norma pone de relieve que la base de cálculo a efectos de establecer los aportes que deben realizarse al Fondo de Ahorro Obligatorio para la Vivienda (FAOV), solo está delimitada por un límite inferior que es el salario mínimo obligatorio, con la finalidad de incorporar a las trabajadoras y los trabajadores que superen los diez salarios mínimos, evitando con ello una discriminación entre los aportantes del sistema.</w:t>
      </w:r>
    </w:p>
    <w:p w:rsidR="00603A26" w:rsidRPr="006E681A" w:rsidRDefault="00603A26" w:rsidP="00603A26">
      <w:pPr>
        <w:widowControl w:val="0"/>
        <w:autoSpaceDE w:val="0"/>
        <w:autoSpaceDN w:val="0"/>
        <w:adjustRightInd w:val="0"/>
        <w:spacing w:after="10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Al circunscribir el análisis al caso bajo examen y en atención a los principios constitucionales que rigen el sistema de seguridad social y, por ende, al sistema prestacional de vivienda y hábitat, esta Máxima Instancia reitera la importancia de garantizar a todas las ciudadanas y a los ciudadanos el derecho de acceder a una vivienda digna.</w:t>
      </w:r>
    </w:p>
    <w:p w:rsidR="00603A26" w:rsidRPr="006E681A" w:rsidRDefault="00603A26" w:rsidP="00603A26">
      <w:pPr>
        <w:widowControl w:val="0"/>
        <w:autoSpaceDE w:val="0"/>
        <w:autoSpaceDN w:val="0"/>
        <w:adjustRightInd w:val="0"/>
        <w:spacing w:after="10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Para cumplir </w:t>
      </w:r>
      <w:proofErr w:type="gramStart"/>
      <w:r w:rsidRPr="006E681A">
        <w:rPr>
          <w:rFonts w:ascii="Times New Roman" w:hAnsi="Times New Roman" w:cs="Times New Roman"/>
          <w:sz w:val="22"/>
          <w:szCs w:val="22"/>
          <w:lang w:val="en-US"/>
        </w:rPr>
        <w:t>tal</w:t>
      </w:r>
      <w:proofErr w:type="gramEnd"/>
      <w:r w:rsidRPr="006E681A">
        <w:rPr>
          <w:rFonts w:ascii="Times New Roman" w:hAnsi="Times New Roman" w:cs="Times New Roman"/>
          <w:sz w:val="22"/>
          <w:szCs w:val="22"/>
          <w:lang w:val="en-US"/>
        </w:rPr>
        <w:t xml:space="preserve"> cometido, el referido régimen prestacional está conformado por recursos financieros procedentes de diversas fuentes, entre ellas, los ingresos generados por el sistema de aportes que estimula el ahorro habitacional, con lo cual se persigue la intervención de manera protagónica de los aportantes en la satisfacción de este derecho, en atención a los principios de participación y corresponsabilidad.</w:t>
      </w:r>
    </w:p>
    <w:p w:rsidR="00603A26" w:rsidRPr="006E681A" w:rsidRDefault="00603A26" w:rsidP="00603A26">
      <w:pPr>
        <w:widowControl w:val="0"/>
        <w:autoSpaceDE w:val="0"/>
        <w:autoSpaceDN w:val="0"/>
        <w:adjustRightInd w:val="0"/>
        <w:spacing w:after="10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De modo tal que, en aras de garantizar la igualdad de contribución de todas las ciudadanas y los ciudadanos para el acceso a una vivienda digna, el legislador en acatamiento a los principios constitucionales antes indicados, estableció únicamente el salario mínimo obligatorio como límite inferior; a fin de crear una masa de dinero que beneficie a todos sus aportantes.</w:t>
      </w:r>
    </w:p>
    <w:p w:rsidR="00603A26" w:rsidRPr="006E681A" w:rsidRDefault="00603A26" w:rsidP="00603A26">
      <w:pPr>
        <w:widowControl w:val="0"/>
        <w:autoSpaceDE w:val="0"/>
        <w:autoSpaceDN w:val="0"/>
        <w:adjustRightInd w:val="0"/>
        <w:spacing w:after="10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En orden a lo anterior, esta Sala, en atención al examen realizado en cuanto a la utilización del salario integral como base de cálculo de los aportes al Fondo de Ahorro Obligatorio para la Vivienda (FAOV), de los postulados constitucionales que orientan al sistema de la seguridad social, de los principios constitucionales en materia laboral como lo es el </w:t>
      </w:r>
      <w:r w:rsidRPr="006E681A">
        <w:rPr>
          <w:rFonts w:ascii="Times New Roman" w:hAnsi="Times New Roman" w:cs="Times New Roman"/>
          <w:b/>
          <w:bCs/>
          <w:i/>
          <w:iCs/>
          <w:sz w:val="22"/>
          <w:szCs w:val="22"/>
          <w:lang w:val="en-US"/>
        </w:rPr>
        <w:t xml:space="preserve">“protector o de tutela de los trabajadores” </w:t>
      </w:r>
      <w:r w:rsidRPr="006E681A">
        <w:rPr>
          <w:rFonts w:ascii="Times New Roman" w:hAnsi="Times New Roman" w:cs="Times New Roman"/>
          <w:sz w:val="22"/>
          <w:szCs w:val="22"/>
          <w:lang w:val="en-US"/>
        </w:rPr>
        <w:t>en su expresión del</w:t>
      </w:r>
      <w:r w:rsidRPr="006E681A">
        <w:rPr>
          <w:rFonts w:ascii="Times New Roman" w:hAnsi="Times New Roman" w:cs="Times New Roman"/>
          <w:b/>
          <w:bCs/>
          <w:sz w:val="22"/>
          <w:szCs w:val="22"/>
          <w:lang w:val="en-US"/>
        </w:rPr>
        <w:t xml:space="preserve"> </w:t>
      </w:r>
      <w:r w:rsidRPr="006E681A">
        <w:rPr>
          <w:rFonts w:ascii="Times New Roman" w:hAnsi="Times New Roman" w:cs="Times New Roman"/>
          <w:sz w:val="22"/>
          <w:szCs w:val="22"/>
          <w:lang w:val="en-US"/>
        </w:rPr>
        <w:t xml:space="preserve">principio de favor o </w:t>
      </w:r>
      <w:r w:rsidRPr="006E681A">
        <w:rPr>
          <w:rFonts w:ascii="Times New Roman" w:hAnsi="Times New Roman" w:cs="Times New Roman"/>
          <w:i/>
          <w:iCs/>
          <w:sz w:val="22"/>
          <w:szCs w:val="22"/>
          <w:lang w:val="en-US"/>
        </w:rPr>
        <w:t>“in dubio pro operario”</w:t>
      </w:r>
      <w:r w:rsidRPr="006E681A">
        <w:rPr>
          <w:rFonts w:ascii="Times New Roman" w:hAnsi="Times New Roman" w:cs="Times New Roman"/>
          <w:sz w:val="22"/>
          <w:szCs w:val="22"/>
          <w:lang w:val="en-US"/>
        </w:rPr>
        <w:t xml:space="preserve"> y la retroactividad de las normas; considera que el Banco Nacional de Vivienda y Hábitat (BANAVIH) al efectuar el cálculo de los años investigados, sobre la base de las cifras que arrojan los balances contables al cierre de cada año, no contrarió los límites establecidos por el legislador en ejecución del mandato constitucional. Así se declara.</w:t>
      </w:r>
    </w:p>
    <w:p w:rsidR="00603A26" w:rsidRPr="006E681A" w:rsidRDefault="00603A26" w:rsidP="00603A26">
      <w:pPr>
        <w:widowControl w:val="0"/>
        <w:autoSpaceDE w:val="0"/>
        <w:autoSpaceDN w:val="0"/>
        <w:adjustRightInd w:val="0"/>
        <w:spacing w:after="10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Por las razones que anteceden, se desestima la denuncia del apoderado judicial de la sociedad mercantil ACBL de Venezuela, C.A., acerca del vicio de falso supuesto de derecho que -a su criterio- afecta al </w:t>
      </w:r>
      <w:r w:rsidRPr="006E681A">
        <w:rPr>
          <w:rFonts w:ascii="Times New Roman" w:hAnsi="Times New Roman" w:cs="Times New Roman"/>
          <w:i/>
          <w:iCs/>
          <w:sz w:val="22"/>
          <w:szCs w:val="22"/>
          <w:lang w:val="en-US"/>
        </w:rPr>
        <w:t xml:space="preserve">“reparo fiscal”. </w:t>
      </w:r>
      <w:r w:rsidRPr="006E681A">
        <w:rPr>
          <w:rFonts w:ascii="Times New Roman" w:hAnsi="Times New Roman" w:cs="Times New Roman"/>
          <w:sz w:val="22"/>
          <w:szCs w:val="22"/>
          <w:lang w:val="en-US"/>
        </w:rPr>
        <w:t>Así se decide.</w:t>
      </w:r>
    </w:p>
    <w:p w:rsidR="00603A26" w:rsidRPr="006E681A" w:rsidRDefault="00603A26" w:rsidP="00603A26">
      <w:pPr>
        <w:widowControl w:val="0"/>
        <w:autoSpaceDE w:val="0"/>
        <w:autoSpaceDN w:val="0"/>
        <w:adjustRightInd w:val="0"/>
        <w:spacing w:after="10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En consecuencia, se declara sin lugar el recurso de nulidad interpuesto por la empresa, contra el acto administrativo impugnado, el cual queda firme. Así se decide.</w:t>
      </w:r>
    </w:p>
    <w:p w:rsidR="00603A26" w:rsidRPr="006E681A" w:rsidRDefault="00603A26" w:rsidP="00603A26">
      <w:pPr>
        <w:widowControl w:val="0"/>
        <w:autoSpaceDE w:val="0"/>
        <w:autoSpaceDN w:val="0"/>
        <w:adjustRightInd w:val="0"/>
        <w:spacing w:after="100"/>
        <w:ind w:right="260" w:firstLine="940"/>
        <w:jc w:val="both"/>
        <w:rPr>
          <w:rFonts w:ascii="Times New Roman" w:hAnsi="Times New Roman" w:cs="Times New Roman"/>
          <w:sz w:val="22"/>
          <w:szCs w:val="22"/>
          <w:lang w:val="en-US"/>
        </w:rPr>
      </w:pPr>
      <w:proofErr w:type="gramStart"/>
      <w:r w:rsidRPr="006E681A">
        <w:rPr>
          <w:rFonts w:ascii="Times New Roman" w:hAnsi="Times New Roman" w:cs="Times New Roman"/>
          <w:b/>
          <w:bCs/>
          <w:sz w:val="22"/>
          <w:szCs w:val="22"/>
          <w:lang w:val="en-US"/>
        </w:rPr>
        <w:t>4.-</w:t>
      </w:r>
      <w:proofErr w:type="gramEnd"/>
      <w:r w:rsidRPr="006E681A">
        <w:rPr>
          <w:rFonts w:ascii="Times New Roman" w:hAnsi="Times New Roman" w:cs="Times New Roman"/>
          <w:b/>
          <w:bCs/>
          <w:sz w:val="22"/>
          <w:szCs w:val="22"/>
          <w:lang w:val="en-US"/>
        </w:rPr>
        <w:t xml:space="preserve"> Condenatoria en costas al Banco Nacional de Vivienda y Hábitat (BANAVIH):</w:t>
      </w:r>
    </w:p>
    <w:p w:rsidR="00603A26" w:rsidRPr="006E681A" w:rsidRDefault="00603A26" w:rsidP="00603A26">
      <w:pPr>
        <w:widowControl w:val="0"/>
        <w:autoSpaceDE w:val="0"/>
        <w:autoSpaceDN w:val="0"/>
        <w:adjustRightInd w:val="0"/>
        <w:spacing w:after="10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La representación judicial de la empresa recurrente solicitó en su recurso la condenatoria en costas procesales al Banco Nacional de Vivienda y Hábitat (BANAVIH), conforme a lo dispuesto artículo 327 </w:t>
      </w:r>
      <w:proofErr w:type="gramStart"/>
      <w:r w:rsidRPr="006E681A">
        <w:rPr>
          <w:rFonts w:ascii="Times New Roman" w:hAnsi="Times New Roman" w:cs="Times New Roman"/>
          <w:sz w:val="22"/>
          <w:szCs w:val="22"/>
          <w:lang w:val="en-US"/>
        </w:rPr>
        <w:t>del</w:t>
      </w:r>
      <w:proofErr w:type="gramEnd"/>
      <w:r w:rsidRPr="006E681A">
        <w:rPr>
          <w:rFonts w:ascii="Times New Roman" w:hAnsi="Times New Roman" w:cs="Times New Roman"/>
          <w:sz w:val="22"/>
          <w:szCs w:val="22"/>
          <w:lang w:val="en-US"/>
        </w:rPr>
        <w:t xml:space="preserve"> Código Orgánico Tributario de 2001.</w:t>
      </w:r>
    </w:p>
    <w:p w:rsidR="00603A26" w:rsidRPr="006E681A" w:rsidRDefault="00603A26" w:rsidP="00603A26">
      <w:pPr>
        <w:widowControl w:val="0"/>
        <w:autoSpaceDE w:val="0"/>
        <w:autoSpaceDN w:val="0"/>
        <w:adjustRightInd w:val="0"/>
        <w:spacing w:after="10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lastRenderedPageBreak/>
        <w:t>Sobre el particular, la Sala enfatiza que al no ser la materia debatida de naturaleza tributaria, el mencionado Código no resulta inaplicable.</w:t>
      </w:r>
    </w:p>
    <w:p w:rsidR="00603A26" w:rsidRPr="006E681A" w:rsidRDefault="00603A26" w:rsidP="00603A26">
      <w:pPr>
        <w:widowControl w:val="0"/>
        <w:autoSpaceDE w:val="0"/>
        <w:autoSpaceDN w:val="0"/>
        <w:adjustRightInd w:val="0"/>
        <w:spacing w:after="10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Ahora bien, partiendo de la calificación que hizo esta Sala Político-Administrativa respecto al recurso incoado por la sociedad de comercio ABCL de Venezuela, C.A., dándole el tratamiento de un recurso contencioso administrativo de nulidad (en atención al cambio de criterio asumido en acatamiento a la sentencia vinculante de la Sala Constitucional Nro. 1.771 del 28 de noviembre de 2011), y al no estar prevista la condenatoria en costas en las normas que regulan el procedimiento para tramitar el aludido recurso, no procede tal condenatoria en el caso concreto. Así se decide.</w:t>
      </w:r>
    </w:p>
    <w:p w:rsidR="00603A26" w:rsidRPr="006E681A" w:rsidRDefault="00603A26" w:rsidP="00603A26">
      <w:pPr>
        <w:widowControl w:val="0"/>
        <w:autoSpaceDE w:val="0"/>
        <w:autoSpaceDN w:val="0"/>
        <w:adjustRightInd w:val="0"/>
        <w:spacing w:after="320"/>
        <w:jc w:val="center"/>
        <w:rPr>
          <w:rFonts w:ascii="Times New Roman" w:hAnsi="Times New Roman" w:cs="Times New Roman"/>
          <w:sz w:val="22"/>
          <w:szCs w:val="22"/>
          <w:lang w:val="en-US"/>
        </w:rPr>
      </w:pPr>
      <w:r w:rsidRPr="006E681A">
        <w:rPr>
          <w:rFonts w:ascii="Times New Roman" w:hAnsi="Times New Roman" w:cs="Times New Roman"/>
          <w:b/>
          <w:bCs/>
          <w:sz w:val="22"/>
          <w:szCs w:val="22"/>
          <w:lang w:val="en-US"/>
        </w:rPr>
        <w:t>VI</w:t>
      </w:r>
    </w:p>
    <w:p w:rsidR="00603A26" w:rsidRPr="006E681A" w:rsidRDefault="00603A26" w:rsidP="00603A26">
      <w:pPr>
        <w:widowControl w:val="0"/>
        <w:autoSpaceDE w:val="0"/>
        <w:autoSpaceDN w:val="0"/>
        <w:adjustRightInd w:val="0"/>
        <w:spacing w:after="320"/>
        <w:jc w:val="center"/>
        <w:rPr>
          <w:rFonts w:ascii="Times New Roman" w:hAnsi="Times New Roman" w:cs="Times New Roman"/>
          <w:sz w:val="22"/>
          <w:szCs w:val="22"/>
          <w:lang w:val="en-US"/>
        </w:rPr>
      </w:pPr>
      <w:r w:rsidRPr="006E681A">
        <w:rPr>
          <w:rFonts w:ascii="Times New Roman" w:hAnsi="Times New Roman" w:cs="Times New Roman"/>
          <w:b/>
          <w:bCs/>
          <w:sz w:val="22"/>
          <w:szCs w:val="22"/>
          <w:lang w:val="en-US"/>
        </w:rPr>
        <w:t>DECISIÓN</w:t>
      </w:r>
    </w:p>
    <w:p w:rsidR="00603A26" w:rsidRPr="006E681A" w:rsidRDefault="00603A26" w:rsidP="00603A26">
      <w:pPr>
        <w:widowControl w:val="0"/>
        <w:autoSpaceDE w:val="0"/>
        <w:autoSpaceDN w:val="0"/>
        <w:adjustRightInd w:val="0"/>
        <w:spacing w:after="26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En virtud de las consideraciones precedentemente expuestas, </w:t>
      </w:r>
      <w:proofErr w:type="gramStart"/>
      <w:r w:rsidRPr="006E681A">
        <w:rPr>
          <w:rFonts w:ascii="Times New Roman" w:hAnsi="Times New Roman" w:cs="Times New Roman"/>
          <w:sz w:val="22"/>
          <w:szCs w:val="22"/>
          <w:lang w:val="en-US"/>
        </w:rPr>
        <w:t>este</w:t>
      </w:r>
      <w:proofErr w:type="gramEnd"/>
      <w:r w:rsidRPr="006E681A">
        <w:rPr>
          <w:rFonts w:ascii="Times New Roman" w:hAnsi="Times New Roman" w:cs="Times New Roman"/>
          <w:sz w:val="22"/>
          <w:szCs w:val="22"/>
          <w:lang w:val="en-US"/>
        </w:rPr>
        <w:t xml:space="preserve"> Tribunal Supremo de Justicia en Sala Político-Administrativa, administrando justicia en nombre de la República y por autoridad de la Ley, declara:</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proofErr w:type="gramStart"/>
      <w:r w:rsidRPr="006E681A">
        <w:rPr>
          <w:rFonts w:ascii="Times New Roman" w:hAnsi="Times New Roman" w:cs="Times New Roman"/>
          <w:sz w:val="22"/>
          <w:szCs w:val="22"/>
          <w:lang w:val="en-US"/>
        </w:rPr>
        <w:t>1.-</w:t>
      </w:r>
      <w:proofErr w:type="gramEnd"/>
      <w:r w:rsidRPr="006E681A">
        <w:rPr>
          <w:rFonts w:ascii="Times New Roman" w:hAnsi="Times New Roman" w:cs="Times New Roman"/>
          <w:sz w:val="22"/>
          <w:szCs w:val="22"/>
          <w:lang w:val="en-US"/>
        </w:rPr>
        <w:t xml:space="preserve"> </w:t>
      </w:r>
      <w:r w:rsidRPr="006E681A">
        <w:rPr>
          <w:rFonts w:ascii="Times New Roman" w:hAnsi="Times New Roman" w:cs="Times New Roman"/>
          <w:b/>
          <w:bCs/>
          <w:sz w:val="22"/>
          <w:szCs w:val="22"/>
          <w:lang w:val="en-US"/>
        </w:rPr>
        <w:t>NULAS</w:t>
      </w:r>
      <w:r w:rsidRPr="006E681A">
        <w:rPr>
          <w:rFonts w:ascii="Times New Roman" w:hAnsi="Times New Roman" w:cs="Times New Roman"/>
          <w:sz w:val="22"/>
          <w:szCs w:val="22"/>
          <w:lang w:val="en-US"/>
        </w:rPr>
        <w:t xml:space="preserve"> la sentencia interlocutoria Nro. 047/2010 </w:t>
      </w:r>
      <w:proofErr w:type="gramStart"/>
      <w:r w:rsidRPr="006E681A">
        <w:rPr>
          <w:rFonts w:ascii="Times New Roman" w:hAnsi="Times New Roman" w:cs="Times New Roman"/>
          <w:sz w:val="22"/>
          <w:szCs w:val="22"/>
          <w:lang w:val="en-US"/>
        </w:rPr>
        <w:t>del</w:t>
      </w:r>
      <w:proofErr w:type="gramEnd"/>
      <w:r w:rsidRPr="006E681A">
        <w:rPr>
          <w:rFonts w:ascii="Times New Roman" w:hAnsi="Times New Roman" w:cs="Times New Roman"/>
          <w:sz w:val="22"/>
          <w:szCs w:val="22"/>
          <w:lang w:val="en-US"/>
        </w:rPr>
        <w:t xml:space="preserve"> 19 de marzo de 2010, así como la decisión definitiva Nro. 022/2011 de fecha 16 de marzo de 2011, dictadas por el Tribunal Superior Cuarto de lo Contencioso Tributario de la Circunscripción Judicial </w:t>
      </w:r>
      <w:proofErr w:type="gramStart"/>
      <w:r w:rsidRPr="006E681A">
        <w:rPr>
          <w:rFonts w:ascii="Times New Roman" w:hAnsi="Times New Roman" w:cs="Times New Roman"/>
          <w:sz w:val="22"/>
          <w:szCs w:val="22"/>
          <w:lang w:val="en-US"/>
        </w:rPr>
        <w:t>del</w:t>
      </w:r>
      <w:proofErr w:type="gramEnd"/>
      <w:r w:rsidRPr="006E681A">
        <w:rPr>
          <w:rFonts w:ascii="Times New Roman" w:hAnsi="Times New Roman" w:cs="Times New Roman"/>
          <w:sz w:val="22"/>
          <w:szCs w:val="22"/>
          <w:lang w:val="en-US"/>
        </w:rPr>
        <w:t xml:space="preserve"> Área Metropolitana de Caracas, por lo que no procede conocer los alegatos planteados por la representación judicial del</w:t>
      </w:r>
      <w:r w:rsidRPr="006E681A">
        <w:rPr>
          <w:rFonts w:ascii="Times New Roman" w:hAnsi="Times New Roman" w:cs="Times New Roman"/>
          <w:b/>
          <w:bCs/>
          <w:sz w:val="22"/>
          <w:szCs w:val="22"/>
          <w:lang w:val="en-US"/>
        </w:rPr>
        <w:t xml:space="preserve"> </w:t>
      </w:r>
      <w:r w:rsidRPr="006E681A">
        <w:rPr>
          <w:rFonts w:ascii="Times New Roman" w:hAnsi="Times New Roman" w:cs="Times New Roman"/>
          <w:sz w:val="22"/>
          <w:szCs w:val="22"/>
          <w:lang w:val="en-US"/>
        </w:rPr>
        <w:t>Banco Nacional de Vivienda y Hábitat (BANAVIH) en su escrito de fundamentación de la apelación.</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proofErr w:type="gramStart"/>
      <w:r w:rsidRPr="006E681A">
        <w:rPr>
          <w:rFonts w:ascii="Times New Roman" w:hAnsi="Times New Roman" w:cs="Times New Roman"/>
          <w:sz w:val="22"/>
          <w:szCs w:val="22"/>
          <w:lang w:val="en-US"/>
        </w:rPr>
        <w:t>2.-</w:t>
      </w:r>
      <w:proofErr w:type="gramEnd"/>
      <w:r w:rsidRPr="006E681A">
        <w:rPr>
          <w:rFonts w:ascii="Times New Roman" w:hAnsi="Times New Roman" w:cs="Times New Roman"/>
          <w:sz w:val="22"/>
          <w:szCs w:val="22"/>
          <w:lang w:val="en-US"/>
        </w:rPr>
        <w:t xml:space="preserve"> </w:t>
      </w:r>
      <w:r w:rsidRPr="006E681A">
        <w:rPr>
          <w:rFonts w:ascii="Times New Roman" w:hAnsi="Times New Roman" w:cs="Times New Roman"/>
          <w:b/>
          <w:bCs/>
          <w:sz w:val="22"/>
          <w:szCs w:val="22"/>
          <w:lang w:val="en-US"/>
        </w:rPr>
        <w:t>VÁLIDAS</w:t>
      </w:r>
      <w:r w:rsidRPr="006E681A">
        <w:rPr>
          <w:rFonts w:ascii="Times New Roman" w:hAnsi="Times New Roman" w:cs="Times New Roman"/>
          <w:sz w:val="22"/>
          <w:szCs w:val="22"/>
          <w:lang w:val="en-US"/>
        </w:rPr>
        <w:t xml:space="preserve"> las demás actuaciones procesales cumplidas en el curso del proceso ante el Tribunal Superior Cuarto de lo Contencioso Tributario de la Circunscripción Judicial del Área Metropolitana de Caracas.</w:t>
      </w:r>
    </w:p>
    <w:p w:rsidR="00603A26" w:rsidRPr="006E681A" w:rsidRDefault="00603A26" w:rsidP="00603A26">
      <w:pPr>
        <w:widowControl w:val="0"/>
        <w:autoSpaceDE w:val="0"/>
        <w:autoSpaceDN w:val="0"/>
        <w:adjustRightInd w:val="0"/>
        <w:spacing w:after="160"/>
        <w:ind w:right="260" w:firstLine="940"/>
        <w:jc w:val="both"/>
        <w:rPr>
          <w:rFonts w:ascii="Times New Roman" w:hAnsi="Times New Roman" w:cs="Times New Roman"/>
          <w:sz w:val="22"/>
          <w:szCs w:val="22"/>
          <w:lang w:val="en-US"/>
        </w:rPr>
      </w:pPr>
      <w:proofErr w:type="gramStart"/>
      <w:r w:rsidRPr="006E681A">
        <w:rPr>
          <w:rFonts w:ascii="Times New Roman" w:hAnsi="Times New Roman" w:cs="Times New Roman"/>
          <w:sz w:val="22"/>
          <w:szCs w:val="22"/>
          <w:lang w:val="en-US"/>
        </w:rPr>
        <w:t>3.-</w:t>
      </w:r>
      <w:proofErr w:type="gramEnd"/>
      <w:r w:rsidRPr="006E681A">
        <w:rPr>
          <w:rFonts w:ascii="Times New Roman" w:hAnsi="Times New Roman" w:cs="Times New Roman"/>
          <w:sz w:val="22"/>
          <w:szCs w:val="22"/>
          <w:lang w:val="en-US"/>
        </w:rPr>
        <w:t xml:space="preserve"> </w:t>
      </w:r>
      <w:r w:rsidRPr="006E681A">
        <w:rPr>
          <w:rFonts w:ascii="Times New Roman" w:hAnsi="Times New Roman" w:cs="Times New Roman"/>
          <w:b/>
          <w:bCs/>
          <w:sz w:val="22"/>
          <w:szCs w:val="22"/>
          <w:lang w:val="en-US"/>
        </w:rPr>
        <w:t>SIN LUGAR</w:t>
      </w:r>
      <w:r w:rsidRPr="006E681A">
        <w:rPr>
          <w:rFonts w:ascii="Times New Roman" w:hAnsi="Times New Roman" w:cs="Times New Roman"/>
          <w:sz w:val="22"/>
          <w:szCs w:val="22"/>
          <w:lang w:val="en-US"/>
        </w:rPr>
        <w:t xml:space="preserve"> el recurso de nulidad ejercido por la sociedad mercantil </w:t>
      </w:r>
      <w:r w:rsidRPr="006E681A">
        <w:rPr>
          <w:rFonts w:ascii="Times New Roman" w:hAnsi="Times New Roman" w:cs="Times New Roman"/>
          <w:b/>
          <w:bCs/>
          <w:sz w:val="22"/>
          <w:szCs w:val="22"/>
          <w:lang w:val="en-US"/>
        </w:rPr>
        <w:t>ABCL DE VENEZUELA, C.A.</w:t>
      </w:r>
      <w:r w:rsidRPr="006E681A">
        <w:rPr>
          <w:rFonts w:ascii="Times New Roman" w:hAnsi="Times New Roman" w:cs="Times New Roman"/>
          <w:sz w:val="22"/>
          <w:szCs w:val="22"/>
          <w:lang w:val="en-US"/>
        </w:rPr>
        <w:t xml:space="preserve">, contra la </w:t>
      </w:r>
      <w:r w:rsidRPr="006E681A">
        <w:rPr>
          <w:rFonts w:ascii="Times New Roman" w:hAnsi="Times New Roman" w:cs="Times New Roman"/>
          <w:i/>
          <w:iCs/>
          <w:sz w:val="22"/>
          <w:szCs w:val="22"/>
          <w:lang w:val="en-US"/>
        </w:rPr>
        <w:t xml:space="preserve">Resolución </w:t>
      </w:r>
      <w:r w:rsidRPr="006E681A">
        <w:rPr>
          <w:rFonts w:ascii="Times New Roman" w:hAnsi="Times New Roman" w:cs="Times New Roman"/>
          <w:sz w:val="22"/>
          <w:szCs w:val="22"/>
          <w:lang w:val="en-US"/>
        </w:rPr>
        <w:t>Nro.</w:t>
      </w:r>
      <w:r w:rsidRPr="006E681A">
        <w:rPr>
          <w:rFonts w:ascii="Times New Roman" w:hAnsi="Times New Roman" w:cs="Times New Roman"/>
          <w:i/>
          <w:iCs/>
          <w:sz w:val="22"/>
          <w:szCs w:val="22"/>
          <w:lang w:val="en-US"/>
        </w:rPr>
        <w:t xml:space="preserve"> 0129 </w:t>
      </w:r>
      <w:r w:rsidRPr="006E681A">
        <w:rPr>
          <w:rFonts w:ascii="Times New Roman" w:hAnsi="Times New Roman" w:cs="Times New Roman"/>
          <w:sz w:val="22"/>
          <w:szCs w:val="22"/>
          <w:lang w:val="en-US"/>
        </w:rPr>
        <w:t xml:space="preserve">de fecha 6 de abril de 2009, emitida por la Gerencia de Fiscalización del Banco Nacional de Vivienda y Hábitat (BANAVIH), que estableció a cargo de la nombrada empresa la obligación de pagar la cantidad de Un Millón Setecientos  Un  Mil  Doscientos  Treinta  y  Nueve  Bolívares  con  Sesenta  y Ocho  Céntimos  (Bs. 1.701.239,68),  por  diferencia  de  aportes  dejados  de pagar al  Fondo  de  Ahorro  Obligatorio  para  la  Vivienda  (FAOV)  durante  los años civiles  2003,  2004,  2005,  2006,  2007  y  2008,  y  el  monto  de  Quinientos  Cincuenta  y  Dos  Mil  Novecientos  Veintinueve  Bolívares  con Treinta  y  Siete  Céntimos  (Bs. 552.929,37)  por  rendimientos  obtenidos  de los  aportes  no  depositados  durante  los  años  civiles  2003,  2004,  2005, 2006, 2007 y 2008, y que fueron calculados hasta febrero de 2009, para un total de Dos Millones Doscientos Cincuenta y Cuatro Mil Ciento Sesenta y Nueve Bolívares con Cinco Céntimos (Bs. 2.254.169,05); acto administrativo que queda </w:t>
      </w:r>
      <w:r w:rsidRPr="006E681A">
        <w:rPr>
          <w:rFonts w:ascii="Times New Roman" w:hAnsi="Times New Roman" w:cs="Times New Roman"/>
          <w:b/>
          <w:bCs/>
          <w:sz w:val="22"/>
          <w:szCs w:val="22"/>
          <w:lang w:val="en-US"/>
        </w:rPr>
        <w:t>FIRME</w:t>
      </w:r>
      <w:r w:rsidRPr="006E681A">
        <w:rPr>
          <w:rFonts w:ascii="Times New Roman" w:hAnsi="Times New Roman" w:cs="Times New Roman"/>
          <w:sz w:val="22"/>
          <w:szCs w:val="22"/>
          <w:lang w:val="en-US"/>
        </w:rPr>
        <w:t>.</w:t>
      </w:r>
    </w:p>
    <w:p w:rsidR="00603A26" w:rsidRPr="006E681A" w:rsidRDefault="00603A26" w:rsidP="00603A26">
      <w:pPr>
        <w:widowControl w:val="0"/>
        <w:autoSpaceDE w:val="0"/>
        <w:autoSpaceDN w:val="0"/>
        <w:adjustRightInd w:val="0"/>
        <w:spacing w:after="260"/>
        <w:ind w:right="260" w:firstLine="940"/>
        <w:jc w:val="both"/>
        <w:rPr>
          <w:rFonts w:ascii="Times New Roman" w:hAnsi="Times New Roman" w:cs="Times New Roman"/>
          <w:sz w:val="22"/>
          <w:szCs w:val="22"/>
          <w:lang w:val="en-US"/>
        </w:rPr>
      </w:pPr>
      <w:r w:rsidRPr="006E681A">
        <w:rPr>
          <w:rFonts w:ascii="Times New Roman" w:hAnsi="Times New Roman" w:cs="Times New Roman"/>
          <w:b/>
          <w:bCs/>
          <w:sz w:val="22"/>
          <w:szCs w:val="22"/>
          <w:lang w:val="en-US"/>
        </w:rPr>
        <w:t>NO</w:t>
      </w:r>
      <w:r w:rsidRPr="006E681A">
        <w:rPr>
          <w:rFonts w:ascii="Times New Roman" w:hAnsi="Times New Roman" w:cs="Times New Roman"/>
          <w:sz w:val="22"/>
          <w:szCs w:val="22"/>
          <w:lang w:val="en-US"/>
        </w:rPr>
        <w:t xml:space="preserve"> </w:t>
      </w:r>
      <w:r w:rsidRPr="006E681A">
        <w:rPr>
          <w:rFonts w:ascii="Times New Roman" w:hAnsi="Times New Roman" w:cs="Times New Roman"/>
          <w:b/>
          <w:bCs/>
          <w:sz w:val="22"/>
          <w:szCs w:val="22"/>
          <w:lang w:val="en-US"/>
        </w:rPr>
        <w:t xml:space="preserve">PROCEDE </w:t>
      </w:r>
      <w:r w:rsidRPr="006E681A">
        <w:rPr>
          <w:rFonts w:ascii="Times New Roman" w:hAnsi="Times New Roman" w:cs="Times New Roman"/>
          <w:sz w:val="22"/>
          <w:szCs w:val="22"/>
          <w:lang w:val="en-US"/>
        </w:rPr>
        <w:t xml:space="preserve">el pago de las costas procesales a la recurrente en los términos expuestos en </w:t>
      </w:r>
      <w:proofErr w:type="gramStart"/>
      <w:r w:rsidRPr="006E681A">
        <w:rPr>
          <w:rFonts w:ascii="Times New Roman" w:hAnsi="Times New Roman" w:cs="Times New Roman"/>
          <w:sz w:val="22"/>
          <w:szCs w:val="22"/>
          <w:lang w:val="en-US"/>
        </w:rPr>
        <w:t>este</w:t>
      </w:r>
      <w:proofErr w:type="gramEnd"/>
      <w:r w:rsidRPr="006E681A">
        <w:rPr>
          <w:rFonts w:ascii="Times New Roman" w:hAnsi="Times New Roman" w:cs="Times New Roman"/>
          <w:sz w:val="22"/>
          <w:szCs w:val="22"/>
          <w:lang w:val="en-US"/>
        </w:rPr>
        <w:t xml:space="preserve"> fallo.</w:t>
      </w:r>
    </w:p>
    <w:p w:rsidR="00603A26" w:rsidRPr="006E681A" w:rsidRDefault="00603A26" w:rsidP="00603A26">
      <w:pPr>
        <w:widowControl w:val="0"/>
        <w:autoSpaceDE w:val="0"/>
        <w:autoSpaceDN w:val="0"/>
        <w:adjustRightInd w:val="0"/>
        <w:spacing w:after="320"/>
        <w:ind w:right="260" w:firstLine="94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xml:space="preserve">Publíquese, regístrese y notifíquese. Envíese copia certificada de esta decisión al Tribunal Superior Cuarto de lo Contencioso Tributario de la Circunscripción Judicial </w:t>
      </w:r>
      <w:proofErr w:type="gramStart"/>
      <w:r w:rsidRPr="006E681A">
        <w:rPr>
          <w:rFonts w:ascii="Times New Roman" w:hAnsi="Times New Roman" w:cs="Times New Roman"/>
          <w:sz w:val="22"/>
          <w:szCs w:val="22"/>
          <w:lang w:val="en-US"/>
        </w:rPr>
        <w:t>del</w:t>
      </w:r>
      <w:proofErr w:type="gramEnd"/>
      <w:r w:rsidRPr="006E681A">
        <w:rPr>
          <w:rFonts w:ascii="Times New Roman" w:hAnsi="Times New Roman" w:cs="Times New Roman"/>
          <w:sz w:val="22"/>
          <w:szCs w:val="22"/>
          <w:lang w:val="en-US"/>
        </w:rPr>
        <w:t xml:space="preserve"> Área Metropolitana de Caracas. Archívese el Expediente. Cúmplase lo ordenado.</w:t>
      </w:r>
    </w:p>
    <w:p w:rsidR="00603A26" w:rsidRPr="006E681A" w:rsidRDefault="00603A26" w:rsidP="00603A26">
      <w:pPr>
        <w:widowControl w:val="0"/>
        <w:autoSpaceDE w:val="0"/>
        <w:autoSpaceDN w:val="0"/>
        <w:adjustRightInd w:val="0"/>
        <w:ind w:firstLine="70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lastRenderedPageBreak/>
        <w:t xml:space="preserve">Dada, firmada y sellada en el Salón de Despacho de la Sala Político-Administrativa </w:t>
      </w:r>
      <w:proofErr w:type="gramStart"/>
      <w:r w:rsidRPr="006E681A">
        <w:rPr>
          <w:rFonts w:ascii="Times New Roman" w:hAnsi="Times New Roman" w:cs="Times New Roman"/>
          <w:sz w:val="22"/>
          <w:szCs w:val="22"/>
          <w:lang w:val="en-US"/>
        </w:rPr>
        <w:t>del</w:t>
      </w:r>
      <w:proofErr w:type="gramEnd"/>
      <w:r w:rsidRPr="006E681A">
        <w:rPr>
          <w:rFonts w:ascii="Times New Roman" w:hAnsi="Times New Roman" w:cs="Times New Roman"/>
          <w:sz w:val="22"/>
          <w:szCs w:val="22"/>
          <w:lang w:val="en-US"/>
        </w:rPr>
        <w:t xml:space="preserve"> Tribunal Supremo de Justicia, en Caracas, a los once (11) días del mes de diciembre del año dos mil doce (2012). Años 202º de la Independencia y 153º de la Federación.</w:t>
      </w:r>
    </w:p>
    <w:p w:rsidR="00603A26" w:rsidRPr="006E681A" w:rsidRDefault="00603A26" w:rsidP="00603A26">
      <w:pPr>
        <w:widowControl w:val="0"/>
        <w:autoSpaceDE w:val="0"/>
        <w:autoSpaceDN w:val="0"/>
        <w:adjustRightInd w:val="0"/>
        <w:jc w:val="both"/>
        <w:rPr>
          <w:rFonts w:ascii="Times New Roman" w:hAnsi="Times New Roman" w:cs="Times New Roman"/>
          <w:sz w:val="22"/>
          <w:szCs w:val="22"/>
          <w:lang w:val="en-US"/>
        </w:rPr>
      </w:pPr>
      <w:r w:rsidRPr="006E681A">
        <w:rPr>
          <w:rFonts w:ascii="Times New Roman" w:hAnsi="Times New Roman" w:cs="Times New Roman"/>
          <w:sz w:val="22"/>
          <w:szCs w:val="22"/>
          <w:lang w:val="en-US"/>
        </w:rPr>
        <w:t>                             </w:t>
      </w:r>
    </w:p>
    <w:tbl>
      <w:tblPr>
        <w:tblW w:w="23440" w:type="dxa"/>
        <w:tblBorders>
          <w:top w:val="nil"/>
          <w:left w:val="nil"/>
          <w:right w:val="nil"/>
        </w:tblBorders>
        <w:tblLayout w:type="fixed"/>
        <w:tblLook w:val="0000" w:firstRow="0" w:lastRow="0" w:firstColumn="0" w:lastColumn="0" w:noHBand="0" w:noVBand="0"/>
      </w:tblPr>
      <w:tblGrid>
        <w:gridCol w:w="7945"/>
        <w:gridCol w:w="5248"/>
        <w:gridCol w:w="4999"/>
        <w:gridCol w:w="5248"/>
      </w:tblGrid>
      <w:tr w:rsidR="00603A26" w:rsidRPr="006E681A" w:rsidTr="006E681A">
        <w:tc>
          <w:tcPr>
            <w:tcW w:w="7945" w:type="dxa"/>
            <w:tcMar>
              <w:top w:w="140" w:type="nil"/>
              <w:right w:w="140" w:type="nil"/>
            </w:tcMar>
          </w:tcPr>
          <w:p w:rsidR="00603A26" w:rsidRPr="006E681A" w:rsidRDefault="00603A26">
            <w:pPr>
              <w:widowControl w:val="0"/>
              <w:autoSpaceDE w:val="0"/>
              <w:autoSpaceDN w:val="0"/>
              <w:adjustRightInd w:val="0"/>
              <w:jc w:val="center"/>
              <w:rPr>
                <w:rFonts w:ascii="Times New Roman" w:hAnsi="Times New Roman" w:cs="Times New Roman"/>
                <w:kern w:val="1"/>
                <w:sz w:val="22"/>
                <w:szCs w:val="22"/>
                <w:lang w:val="en-US"/>
              </w:rPr>
            </w:pPr>
            <w:r w:rsidRPr="006E681A">
              <w:rPr>
                <w:rFonts w:ascii="Times New Roman" w:hAnsi="Times New Roman" w:cs="Times New Roman"/>
                <w:spacing w:val="8"/>
                <w:kern w:val="1"/>
                <w:sz w:val="22"/>
                <w:szCs w:val="22"/>
                <w:lang w:val="en-US"/>
              </w:rPr>
              <w:t>La Presidenta - Ponente</w:t>
            </w:r>
          </w:p>
          <w:p w:rsidR="00603A26" w:rsidRPr="006E681A" w:rsidRDefault="00603A26">
            <w:pPr>
              <w:widowControl w:val="0"/>
              <w:autoSpaceDE w:val="0"/>
              <w:autoSpaceDN w:val="0"/>
              <w:adjustRightInd w:val="0"/>
              <w:jc w:val="center"/>
              <w:rPr>
                <w:rFonts w:ascii="Times New Roman" w:hAnsi="Times New Roman" w:cs="Times New Roman"/>
                <w:kern w:val="1"/>
                <w:sz w:val="22"/>
                <w:szCs w:val="22"/>
                <w:lang w:val="en-US"/>
              </w:rPr>
            </w:pPr>
            <w:r w:rsidRPr="006E681A">
              <w:rPr>
                <w:rFonts w:ascii="Times New Roman" w:hAnsi="Times New Roman" w:cs="Times New Roman"/>
                <w:b/>
                <w:bCs/>
                <w:kern w:val="1"/>
                <w:sz w:val="22"/>
                <w:szCs w:val="22"/>
                <w:lang w:val="en-US"/>
              </w:rPr>
              <w:t>EVELYN MARRERO ORTÍZ</w:t>
            </w:r>
          </w:p>
          <w:p w:rsidR="00603A26" w:rsidRPr="006E681A" w:rsidRDefault="00603A26">
            <w:pPr>
              <w:widowControl w:val="0"/>
              <w:autoSpaceDE w:val="0"/>
              <w:autoSpaceDN w:val="0"/>
              <w:adjustRightInd w:val="0"/>
              <w:jc w:val="center"/>
              <w:rPr>
                <w:rFonts w:ascii="Times New Roman" w:hAnsi="Times New Roman" w:cs="Times New Roman"/>
                <w:kern w:val="1"/>
                <w:sz w:val="22"/>
                <w:szCs w:val="22"/>
                <w:lang w:val="en-US"/>
              </w:rPr>
            </w:pPr>
            <w:r w:rsidRPr="006E681A">
              <w:rPr>
                <w:rFonts w:ascii="Times New Roman" w:hAnsi="Times New Roman" w:cs="Times New Roman"/>
                <w:kern w:val="1"/>
                <w:sz w:val="22"/>
                <w:szCs w:val="22"/>
                <w:lang w:val="en-US"/>
              </w:rPr>
              <w:t> </w:t>
            </w:r>
          </w:p>
        </w:tc>
        <w:tc>
          <w:tcPr>
            <w:tcW w:w="10247" w:type="dxa"/>
            <w:gridSpan w:val="2"/>
            <w:tcMar>
              <w:top w:w="140" w:type="nil"/>
              <w:right w:w="140" w:type="nil"/>
            </w:tcMar>
          </w:tcPr>
          <w:p w:rsidR="00603A26" w:rsidRPr="006E681A" w:rsidRDefault="00603A26">
            <w:pPr>
              <w:widowControl w:val="0"/>
              <w:autoSpaceDE w:val="0"/>
              <w:autoSpaceDN w:val="0"/>
              <w:adjustRightInd w:val="0"/>
              <w:jc w:val="center"/>
              <w:rPr>
                <w:rFonts w:ascii="Times New Roman" w:hAnsi="Times New Roman" w:cs="Times New Roman"/>
                <w:kern w:val="1"/>
                <w:sz w:val="22"/>
                <w:szCs w:val="22"/>
                <w:lang w:val="en-US"/>
              </w:rPr>
            </w:pPr>
            <w:r w:rsidRPr="006E681A">
              <w:rPr>
                <w:rFonts w:ascii="Times New Roman" w:hAnsi="Times New Roman" w:cs="Times New Roman"/>
                <w:kern w:val="1"/>
                <w:sz w:val="22"/>
                <w:szCs w:val="22"/>
                <w:lang w:val="en-US"/>
              </w:rPr>
              <w:t> </w:t>
            </w:r>
          </w:p>
        </w:tc>
        <w:tc>
          <w:tcPr>
            <w:tcW w:w="5248" w:type="dxa"/>
            <w:tcMar>
              <w:top w:w="140" w:type="nil"/>
              <w:right w:w="140" w:type="nil"/>
            </w:tcMar>
          </w:tcPr>
          <w:p w:rsidR="00603A26" w:rsidRPr="006E681A" w:rsidRDefault="00603A26">
            <w:pPr>
              <w:widowControl w:val="0"/>
              <w:autoSpaceDE w:val="0"/>
              <w:autoSpaceDN w:val="0"/>
              <w:adjustRightInd w:val="0"/>
              <w:jc w:val="center"/>
              <w:rPr>
                <w:rFonts w:ascii="Times New Roman" w:hAnsi="Times New Roman" w:cs="Times New Roman"/>
                <w:kern w:val="1"/>
                <w:sz w:val="22"/>
                <w:szCs w:val="22"/>
                <w:lang w:val="en-US"/>
              </w:rPr>
            </w:pPr>
            <w:r w:rsidRPr="006E681A">
              <w:rPr>
                <w:rFonts w:ascii="Times New Roman" w:hAnsi="Times New Roman" w:cs="Times New Roman"/>
                <w:kern w:val="1"/>
                <w:sz w:val="22"/>
                <w:szCs w:val="22"/>
                <w:lang w:val="en-US"/>
              </w:rPr>
              <w:t> </w:t>
            </w:r>
          </w:p>
        </w:tc>
      </w:tr>
      <w:tr w:rsidR="00603A26" w:rsidRPr="006E681A" w:rsidTr="006E681A">
        <w:tblPrEx>
          <w:tblBorders>
            <w:top w:val="none" w:sz="0" w:space="0" w:color="auto"/>
          </w:tblBorders>
        </w:tblPrEx>
        <w:tc>
          <w:tcPr>
            <w:tcW w:w="7945" w:type="dxa"/>
            <w:tcMar>
              <w:top w:w="140" w:type="nil"/>
              <w:right w:w="140" w:type="nil"/>
            </w:tcMar>
          </w:tcPr>
          <w:p w:rsidR="00603A26" w:rsidRPr="006E681A" w:rsidRDefault="00603A26" w:rsidP="006E681A">
            <w:pPr>
              <w:widowControl w:val="0"/>
              <w:autoSpaceDE w:val="0"/>
              <w:autoSpaceDN w:val="0"/>
              <w:adjustRightInd w:val="0"/>
              <w:rPr>
                <w:rFonts w:ascii="Times New Roman" w:hAnsi="Times New Roman" w:cs="Times New Roman"/>
                <w:kern w:val="1"/>
                <w:sz w:val="22"/>
                <w:szCs w:val="22"/>
                <w:lang w:val="en-US"/>
              </w:rPr>
            </w:pPr>
          </w:p>
        </w:tc>
        <w:tc>
          <w:tcPr>
            <w:tcW w:w="10247" w:type="dxa"/>
            <w:gridSpan w:val="2"/>
            <w:tcMar>
              <w:top w:w="140" w:type="nil"/>
              <w:right w:w="140" w:type="nil"/>
            </w:tcMar>
          </w:tcPr>
          <w:p w:rsidR="00603A26" w:rsidRPr="006E681A" w:rsidRDefault="00603A26">
            <w:pPr>
              <w:widowControl w:val="0"/>
              <w:autoSpaceDE w:val="0"/>
              <w:autoSpaceDN w:val="0"/>
              <w:adjustRightInd w:val="0"/>
              <w:jc w:val="center"/>
              <w:rPr>
                <w:rFonts w:ascii="Times New Roman" w:hAnsi="Times New Roman" w:cs="Times New Roman"/>
                <w:kern w:val="1"/>
                <w:sz w:val="22"/>
                <w:szCs w:val="22"/>
                <w:lang w:val="en-US"/>
              </w:rPr>
            </w:pPr>
            <w:r w:rsidRPr="006E681A">
              <w:rPr>
                <w:rFonts w:ascii="Times New Roman" w:hAnsi="Times New Roman" w:cs="Times New Roman"/>
                <w:kern w:val="1"/>
                <w:sz w:val="22"/>
                <w:szCs w:val="22"/>
                <w:lang w:val="en-US"/>
              </w:rPr>
              <w:t> </w:t>
            </w:r>
          </w:p>
        </w:tc>
        <w:tc>
          <w:tcPr>
            <w:tcW w:w="5248" w:type="dxa"/>
            <w:tcMar>
              <w:top w:w="140" w:type="nil"/>
              <w:right w:w="140" w:type="nil"/>
            </w:tcMar>
          </w:tcPr>
          <w:p w:rsidR="00603A26" w:rsidRPr="006E681A" w:rsidRDefault="00603A26">
            <w:pPr>
              <w:widowControl w:val="0"/>
              <w:autoSpaceDE w:val="0"/>
              <w:autoSpaceDN w:val="0"/>
              <w:adjustRightInd w:val="0"/>
              <w:jc w:val="center"/>
              <w:rPr>
                <w:rFonts w:ascii="Times New Roman" w:hAnsi="Times New Roman" w:cs="Times New Roman"/>
                <w:kern w:val="1"/>
                <w:sz w:val="22"/>
                <w:szCs w:val="22"/>
                <w:lang w:val="en-US"/>
              </w:rPr>
            </w:pPr>
            <w:r w:rsidRPr="006E681A">
              <w:rPr>
                <w:rFonts w:ascii="Times New Roman" w:hAnsi="Times New Roman" w:cs="Times New Roman"/>
                <w:spacing w:val="8"/>
                <w:kern w:val="1"/>
                <w:sz w:val="22"/>
                <w:szCs w:val="22"/>
                <w:lang w:val="en-US"/>
              </w:rPr>
              <w:t>La Vicepresidenta</w:t>
            </w:r>
          </w:p>
          <w:p w:rsidR="00603A26" w:rsidRPr="006E681A" w:rsidRDefault="00603A26">
            <w:pPr>
              <w:widowControl w:val="0"/>
              <w:autoSpaceDE w:val="0"/>
              <w:autoSpaceDN w:val="0"/>
              <w:adjustRightInd w:val="0"/>
              <w:jc w:val="center"/>
              <w:rPr>
                <w:rFonts w:ascii="Times New Roman" w:hAnsi="Times New Roman" w:cs="Times New Roman"/>
                <w:kern w:val="1"/>
                <w:sz w:val="22"/>
                <w:szCs w:val="22"/>
                <w:lang w:val="en-US"/>
              </w:rPr>
            </w:pPr>
            <w:r w:rsidRPr="006E681A">
              <w:rPr>
                <w:rFonts w:ascii="Times New Roman" w:hAnsi="Times New Roman" w:cs="Times New Roman"/>
                <w:b/>
                <w:bCs/>
                <w:kern w:val="1"/>
                <w:sz w:val="22"/>
                <w:szCs w:val="22"/>
                <w:lang w:val="en-US"/>
              </w:rPr>
              <w:t>YOLANDA JAIMES GUERRERO</w:t>
            </w:r>
          </w:p>
          <w:p w:rsidR="00603A26" w:rsidRPr="006E681A" w:rsidRDefault="00603A26">
            <w:pPr>
              <w:widowControl w:val="0"/>
              <w:autoSpaceDE w:val="0"/>
              <w:autoSpaceDN w:val="0"/>
              <w:adjustRightInd w:val="0"/>
              <w:jc w:val="center"/>
              <w:rPr>
                <w:rFonts w:ascii="Times New Roman" w:hAnsi="Times New Roman" w:cs="Times New Roman"/>
                <w:kern w:val="1"/>
                <w:sz w:val="22"/>
                <w:szCs w:val="22"/>
                <w:lang w:val="en-US"/>
              </w:rPr>
            </w:pPr>
            <w:r w:rsidRPr="006E681A">
              <w:rPr>
                <w:rFonts w:ascii="Times New Roman" w:hAnsi="Times New Roman" w:cs="Times New Roman"/>
                <w:kern w:val="1"/>
                <w:sz w:val="22"/>
                <w:szCs w:val="22"/>
                <w:lang w:val="en-US"/>
              </w:rPr>
              <w:t> </w:t>
            </w:r>
          </w:p>
        </w:tc>
      </w:tr>
      <w:tr w:rsidR="00603A26" w:rsidRPr="006E681A" w:rsidTr="006E681A">
        <w:tblPrEx>
          <w:tblBorders>
            <w:top w:val="none" w:sz="0" w:space="0" w:color="auto"/>
          </w:tblBorders>
        </w:tblPrEx>
        <w:tc>
          <w:tcPr>
            <w:tcW w:w="7945" w:type="dxa"/>
            <w:tcMar>
              <w:top w:w="140" w:type="nil"/>
              <w:right w:w="140" w:type="nil"/>
            </w:tcMar>
          </w:tcPr>
          <w:p w:rsidR="00603A26" w:rsidRPr="006E681A" w:rsidRDefault="00603A26">
            <w:pPr>
              <w:widowControl w:val="0"/>
              <w:autoSpaceDE w:val="0"/>
              <w:autoSpaceDN w:val="0"/>
              <w:adjustRightInd w:val="0"/>
              <w:jc w:val="center"/>
              <w:rPr>
                <w:rFonts w:ascii="Times New Roman" w:hAnsi="Times New Roman" w:cs="Times New Roman"/>
                <w:kern w:val="1"/>
                <w:sz w:val="22"/>
                <w:szCs w:val="22"/>
                <w:lang w:val="en-US"/>
              </w:rPr>
            </w:pPr>
            <w:r w:rsidRPr="006E681A">
              <w:rPr>
                <w:rFonts w:ascii="Times New Roman" w:hAnsi="Times New Roman" w:cs="Times New Roman"/>
                <w:spacing w:val="8"/>
                <w:kern w:val="1"/>
                <w:sz w:val="22"/>
                <w:szCs w:val="22"/>
                <w:lang w:val="en-US"/>
              </w:rPr>
              <w:t>El Magistrado</w:t>
            </w:r>
          </w:p>
          <w:p w:rsidR="00603A26" w:rsidRPr="006E681A" w:rsidRDefault="00603A26">
            <w:pPr>
              <w:widowControl w:val="0"/>
              <w:autoSpaceDE w:val="0"/>
              <w:autoSpaceDN w:val="0"/>
              <w:adjustRightInd w:val="0"/>
              <w:jc w:val="center"/>
              <w:rPr>
                <w:rFonts w:ascii="Times New Roman" w:hAnsi="Times New Roman" w:cs="Times New Roman"/>
                <w:kern w:val="1"/>
                <w:sz w:val="22"/>
                <w:szCs w:val="22"/>
                <w:lang w:val="en-US"/>
              </w:rPr>
            </w:pPr>
            <w:r w:rsidRPr="006E681A">
              <w:rPr>
                <w:rFonts w:ascii="Times New Roman" w:hAnsi="Times New Roman" w:cs="Times New Roman"/>
                <w:b/>
                <w:bCs/>
                <w:kern w:val="1"/>
                <w:sz w:val="22"/>
                <w:szCs w:val="22"/>
                <w:lang w:val="en-US"/>
              </w:rPr>
              <w:t>EMIRO GARCÍA ROSAS</w:t>
            </w:r>
          </w:p>
          <w:p w:rsidR="00603A26" w:rsidRPr="006E681A" w:rsidRDefault="00603A26">
            <w:pPr>
              <w:widowControl w:val="0"/>
              <w:autoSpaceDE w:val="0"/>
              <w:autoSpaceDN w:val="0"/>
              <w:adjustRightInd w:val="0"/>
              <w:jc w:val="center"/>
              <w:rPr>
                <w:rFonts w:ascii="Times New Roman" w:hAnsi="Times New Roman" w:cs="Times New Roman"/>
                <w:kern w:val="1"/>
                <w:sz w:val="22"/>
                <w:szCs w:val="22"/>
                <w:lang w:val="en-US"/>
              </w:rPr>
            </w:pPr>
            <w:r w:rsidRPr="006E681A">
              <w:rPr>
                <w:rFonts w:ascii="Times New Roman" w:hAnsi="Times New Roman" w:cs="Times New Roman"/>
                <w:kern w:val="1"/>
                <w:sz w:val="22"/>
                <w:szCs w:val="22"/>
                <w:lang w:val="en-US"/>
              </w:rPr>
              <w:t> </w:t>
            </w:r>
          </w:p>
        </w:tc>
        <w:tc>
          <w:tcPr>
            <w:tcW w:w="10247" w:type="dxa"/>
            <w:gridSpan w:val="2"/>
            <w:tcMar>
              <w:top w:w="140" w:type="nil"/>
              <w:right w:w="140" w:type="nil"/>
            </w:tcMar>
          </w:tcPr>
          <w:p w:rsidR="00603A26" w:rsidRPr="006E681A" w:rsidRDefault="00603A26">
            <w:pPr>
              <w:widowControl w:val="0"/>
              <w:autoSpaceDE w:val="0"/>
              <w:autoSpaceDN w:val="0"/>
              <w:adjustRightInd w:val="0"/>
              <w:jc w:val="center"/>
              <w:rPr>
                <w:rFonts w:ascii="Times New Roman" w:hAnsi="Times New Roman" w:cs="Times New Roman"/>
                <w:kern w:val="1"/>
                <w:sz w:val="22"/>
                <w:szCs w:val="22"/>
                <w:lang w:val="en-US"/>
              </w:rPr>
            </w:pPr>
            <w:r w:rsidRPr="006E681A">
              <w:rPr>
                <w:rFonts w:ascii="Times New Roman" w:hAnsi="Times New Roman" w:cs="Times New Roman"/>
                <w:spacing w:val="8"/>
                <w:kern w:val="1"/>
                <w:sz w:val="22"/>
                <w:szCs w:val="22"/>
                <w:lang w:val="en-US"/>
              </w:rPr>
              <w:t> </w:t>
            </w:r>
          </w:p>
          <w:p w:rsidR="00603A26" w:rsidRPr="006E681A" w:rsidRDefault="00603A26">
            <w:pPr>
              <w:widowControl w:val="0"/>
              <w:autoSpaceDE w:val="0"/>
              <w:autoSpaceDN w:val="0"/>
              <w:adjustRightInd w:val="0"/>
              <w:jc w:val="center"/>
              <w:rPr>
                <w:rFonts w:ascii="Times New Roman" w:hAnsi="Times New Roman" w:cs="Times New Roman"/>
                <w:kern w:val="1"/>
                <w:sz w:val="22"/>
                <w:szCs w:val="22"/>
                <w:lang w:val="en-US"/>
              </w:rPr>
            </w:pPr>
            <w:r w:rsidRPr="006E681A">
              <w:rPr>
                <w:rFonts w:ascii="Times New Roman" w:hAnsi="Times New Roman" w:cs="Times New Roman"/>
                <w:spacing w:val="8"/>
                <w:kern w:val="1"/>
                <w:sz w:val="22"/>
                <w:szCs w:val="22"/>
                <w:lang w:val="en-US"/>
              </w:rPr>
              <w:t> </w:t>
            </w:r>
          </w:p>
        </w:tc>
        <w:tc>
          <w:tcPr>
            <w:tcW w:w="5248" w:type="dxa"/>
            <w:tcMar>
              <w:top w:w="140" w:type="nil"/>
              <w:right w:w="140" w:type="nil"/>
            </w:tcMar>
          </w:tcPr>
          <w:p w:rsidR="00603A26" w:rsidRPr="006E681A" w:rsidRDefault="00603A26">
            <w:pPr>
              <w:widowControl w:val="0"/>
              <w:autoSpaceDE w:val="0"/>
              <w:autoSpaceDN w:val="0"/>
              <w:adjustRightInd w:val="0"/>
              <w:jc w:val="center"/>
              <w:rPr>
                <w:rFonts w:ascii="Times New Roman" w:hAnsi="Times New Roman" w:cs="Times New Roman"/>
                <w:kern w:val="1"/>
                <w:sz w:val="22"/>
                <w:szCs w:val="22"/>
                <w:lang w:val="en-US"/>
              </w:rPr>
            </w:pPr>
            <w:r w:rsidRPr="006E681A">
              <w:rPr>
                <w:rFonts w:ascii="Times New Roman" w:hAnsi="Times New Roman" w:cs="Times New Roman"/>
                <w:kern w:val="1"/>
                <w:sz w:val="22"/>
                <w:szCs w:val="22"/>
                <w:lang w:val="en-US"/>
              </w:rPr>
              <w:t> </w:t>
            </w:r>
          </w:p>
        </w:tc>
      </w:tr>
      <w:tr w:rsidR="00603A26" w:rsidRPr="006E681A" w:rsidTr="006E681A">
        <w:tblPrEx>
          <w:tblBorders>
            <w:top w:val="none" w:sz="0" w:space="0" w:color="auto"/>
          </w:tblBorders>
        </w:tblPrEx>
        <w:tc>
          <w:tcPr>
            <w:tcW w:w="7945" w:type="dxa"/>
            <w:tcMar>
              <w:top w:w="140" w:type="nil"/>
              <w:right w:w="140" w:type="nil"/>
            </w:tcMar>
          </w:tcPr>
          <w:p w:rsidR="00603A26" w:rsidRPr="006E681A" w:rsidRDefault="00603A26" w:rsidP="006E681A">
            <w:pPr>
              <w:widowControl w:val="0"/>
              <w:autoSpaceDE w:val="0"/>
              <w:autoSpaceDN w:val="0"/>
              <w:adjustRightInd w:val="0"/>
              <w:rPr>
                <w:rFonts w:ascii="Times New Roman" w:hAnsi="Times New Roman" w:cs="Times New Roman"/>
                <w:kern w:val="1"/>
                <w:sz w:val="22"/>
                <w:szCs w:val="22"/>
                <w:lang w:val="en-US"/>
              </w:rPr>
            </w:pPr>
          </w:p>
        </w:tc>
        <w:tc>
          <w:tcPr>
            <w:tcW w:w="10247" w:type="dxa"/>
            <w:gridSpan w:val="2"/>
            <w:tcMar>
              <w:top w:w="140" w:type="nil"/>
              <w:right w:w="140" w:type="nil"/>
            </w:tcMar>
          </w:tcPr>
          <w:p w:rsidR="00603A26" w:rsidRPr="006E681A" w:rsidRDefault="00603A26">
            <w:pPr>
              <w:widowControl w:val="0"/>
              <w:autoSpaceDE w:val="0"/>
              <w:autoSpaceDN w:val="0"/>
              <w:adjustRightInd w:val="0"/>
              <w:jc w:val="center"/>
              <w:rPr>
                <w:rFonts w:ascii="Times New Roman" w:hAnsi="Times New Roman" w:cs="Times New Roman"/>
                <w:kern w:val="1"/>
                <w:sz w:val="22"/>
                <w:szCs w:val="22"/>
                <w:lang w:val="en-US"/>
              </w:rPr>
            </w:pPr>
            <w:r w:rsidRPr="006E681A">
              <w:rPr>
                <w:rFonts w:ascii="Times New Roman" w:hAnsi="Times New Roman" w:cs="Times New Roman"/>
                <w:spacing w:val="8"/>
                <w:kern w:val="1"/>
                <w:sz w:val="22"/>
                <w:szCs w:val="22"/>
                <w:lang w:val="en-US"/>
              </w:rPr>
              <w:t> </w:t>
            </w:r>
          </w:p>
          <w:p w:rsidR="00603A26" w:rsidRPr="006E681A" w:rsidRDefault="00603A26">
            <w:pPr>
              <w:widowControl w:val="0"/>
              <w:autoSpaceDE w:val="0"/>
              <w:autoSpaceDN w:val="0"/>
              <w:adjustRightInd w:val="0"/>
              <w:jc w:val="center"/>
              <w:rPr>
                <w:rFonts w:ascii="Times New Roman" w:hAnsi="Times New Roman" w:cs="Times New Roman"/>
                <w:kern w:val="1"/>
                <w:sz w:val="22"/>
                <w:szCs w:val="22"/>
                <w:lang w:val="en-US"/>
              </w:rPr>
            </w:pPr>
            <w:r w:rsidRPr="006E681A">
              <w:rPr>
                <w:rFonts w:ascii="Times New Roman" w:hAnsi="Times New Roman" w:cs="Times New Roman"/>
                <w:spacing w:val="8"/>
                <w:kern w:val="1"/>
                <w:sz w:val="22"/>
                <w:szCs w:val="22"/>
                <w:lang w:val="en-US"/>
              </w:rPr>
              <w:t>Las Magistradas,</w:t>
            </w:r>
          </w:p>
          <w:p w:rsidR="00603A26" w:rsidRPr="006E681A" w:rsidRDefault="00603A26">
            <w:pPr>
              <w:widowControl w:val="0"/>
              <w:autoSpaceDE w:val="0"/>
              <w:autoSpaceDN w:val="0"/>
              <w:adjustRightInd w:val="0"/>
              <w:jc w:val="center"/>
              <w:rPr>
                <w:rFonts w:ascii="Times New Roman" w:hAnsi="Times New Roman" w:cs="Times New Roman"/>
                <w:kern w:val="1"/>
                <w:sz w:val="22"/>
                <w:szCs w:val="22"/>
                <w:lang w:val="en-US"/>
              </w:rPr>
            </w:pPr>
            <w:r w:rsidRPr="006E681A">
              <w:rPr>
                <w:rFonts w:ascii="Times New Roman" w:hAnsi="Times New Roman" w:cs="Times New Roman"/>
                <w:kern w:val="1"/>
                <w:sz w:val="22"/>
                <w:szCs w:val="22"/>
                <w:lang w:val="en-US"/>
              </w:rPr>
              <w:t> </w:t>
            </w:r>
          </w:p>
        </w:tc>
        <w:tc>
          <w:tcPr>
            <w:tcW w:w="5248" w:type="dxa"/>
            <w:tcMar>
              <w:top w:w="140" w:type="nil"/>
              <w:right w:w="140" w:type="nil"/>
            </w:tcMar>
          </w:tcPr>
          <w:p w:rsidR="00603A26" w:rsidRPr="006E681A" w:rsidRDefault="00603A26">
            <w:pPr>
              <w:widowControl w:val="0"/>
              <w:autoSpaceDE w:val="0"/>
              <w:autoSpaceDN w:val="0"/>
              <w:adjustRightInd w:val="0"/>
              <w:jc w:val="center"/>
              <w:rPr>
                <w:rFonts w:ascii="Times New Roman" w:hAnsi="Times New Roman" w:cs="Times New Roman"/>
                <w:kern w:val="1"/>
                <w:sz w:val="22"/>
                <w:szCs w:val="22"/>
                <w:lang w:val="en-US"/>
              </w:rPr>
            </w:pPr>
            <w:r w:rsidRPr="006E681A">
              <w:rPr>
                <w:rFonts w:ascii="Times New Roman" w:hAnsi="Times New Roman" w:cs="Times New Roman"/>
                <w:spacing w:val="8"/>
                <w:kern w:val="1"/>
                <w:sz w:val="22"/>
                <w:szCs w:val="22"/>
                <w:lang w:val="en-US"/>
              </w:rPr>
              <w:t> </w:t>
            </w:r>
          </w:p>
        </w:tc>
      </w:tr>
      <w:tr w:rsidR="00603A26" w:rsidRPr="006E681A" w:rsidTr="006E681A">
        <w:tblPrEx>
          <w:tblBorders>
            <w:top w:val="none" w:sz="0" w:space="0" w:color="auto"/>
          </w:tblBorders>
        </w:tblPrEx>
        <w:tc>
          <w:tcPr>
            <w:tcW w:w="7945" w:type="dxa"/>
            <w:tcMar>
              <w:top w:w="140" w:type="nil"/>
              <w:right w:w="140" w:type="nil"/>
            </w:tcMar>
          </w:tcPr>
          <w:p w:rsidR="00603A26" w:rsidRPr="006E681A" w:rsidRDefault="00603A26" w:rsidP="006E681A">
            <w:pPr>
              <w:widowControl w:val="0"/>
              <w:autoSpaceDE w:val="0"/>
              <w:autoSpaceDN w:val="0"/>
              <w:adjustRightInd w:val="0"/>
              <w:rPr>
                <w:rFonts w:ascii="Times New Roman" w:hAnsi="Times New Roman" w:cs="Times New Roman"/>
                <w:kern w:val="1"/>
                <w:sz w:val="22"/>
                <w:szCs w:val="22"/>
                <w:lang w:val="en-US"/>
              </w:rPr>
            </w:pPr>
            <w:r w:rsidRPr="006E681A">
              <w:rPr>
                <w:rFonts w:ascii="Times New Roman" w:hAnsi="Times New Roman" w:cs="Times New Roman"/>
                <w:b/>
                <w:bCs/>
                <w:spacing w:val="8"/>
                <w:kern w:val="1"/>
                <w:sz w:val="22"/>
                <w:szCs w:val="22"/>
                <w:lang w:val="en-US"/>
              </w:rPr>
              <w:t> </w:t>
            </w:r>
          </w:p>
          <w:p w:rsidR="00603A26" w:rsidRPr="006E681A" w:rsidRDefault="00603A26">
            <w:pPr>
              <w:widowControl w:val="0"/>
              <w:autoSpaceDE w:val="0"/>
              <w:autoSpaceDN w:val="0"/>
              <w:adjustRightInd w:val="0"/>
              <w:jc w:val="center"/>
              <w:rPr>
                <w:rFonts w:ascii="Times New Roman" w:hAnsi="Times New Roman" w:cs="Times New Roman"/>
                <w:kern w:val="1"/>
                <w:sz w:val="22"/>
                <w:szCs w:val="22"/>
                <w:lang w:val="en-US"/>
              </w:rPr>
            </w:pPr>
            <w:r w:rsidRPr="006E681A">
              <w:rPr>
                <w:rFonts w:ascii="Times New Roman" w:hAnsi="Times New Roman" w:cs="Times New Roman"/>
                <w:b/>
                <w:bCs/>
                <w:spacing w:val="8"/>
                <w:kern w:val="1"/>
                <w:sz w:val="22"/>
                <w:szCs w:val="22"/>
                <w:lang w:val="en-US"/>
              </w:rPr>
              <w:t>TRINA OMAIRA ZURITA</w:t>
            </w:r>
          </w:p>
          <w:p w:rsidR="00603A26" w:rsidRPr="006E681A" w:rsidRDefault="00603A26">
            <w:pPr>
              <w:widowControl w:val="0"/>
              <w:autoSpaceDE w:val="0"/>
              <w:autoSpaceDN w:val="0"/>
              <w:adjustRightInd w:val="0"/>
              <w:jc w:val="center"/>
              <w:rPr>
                <w:rFonts w:ascii="Times New Roman" w:hAnsi="Times New Roman" w:cs="Times New Roman"/>
                <w:kern w:val="1"/>
                <w:sz w:val="22"/>
                <w:szCs w:val="22"/>
                <w:lang w:val="en-US"/>
              </w:rPr>
            </w:pPr>
            <w:r w:rsidRPr="006E681A">
              <w:rPr>
                <w:rFonts w:ascii="Times New Roman" w:hAnsi="Times New Roman" w:cs="Times New Roman"/>
                <w:b/>
                <w:bCs/>
                <w:spacing w:val="8"/>
                <w:kern w:val="1"/>
                <w:sz w:val="22"/>
                <w:szCs w:val="22"/>
                <w:lang w:val="en-US"/>
              </w:rPr>
              <w:t> </w:t>
            </w:r>
          </w:p>
        </w:tc>
        <w:tc>
          <w:tcPr>
            <w:tcW w:w="10247" w:type="dxa"/>
            <w:gridSpan w:val="2"/>
            <w:tcMar>
              <w:top w:w="140" w:type="nil"/>
              <w:right w:w="140" w:type="nil"/>
            </w:tcMar>
          </w:tcPr>
          <w:p w:rsidR="00603A26" w:rsidRPr="006E681A" w:rsidRDefault="00603A26">
            <w:pPr>
              <w:widowControl w:val="0"/>
              <w:autoSpaceDE w:val="0"/>
              <w:autoSpaceDN w:val="0"/>
              <w:adjustRightInd w:val="0"/>
              <w:jc w:val="center"/>
              <w:rPr>
                <w:rFonts w:ascii="Times New Roman" w:hAnsi="Times New Roman" w:cs="Times New Roman"/>
                <w:kern w:val="1"/>
                <w:sz w:val="22"/>
                <w:szCs w:val="22"/>
                <w:lang w:val="en-US"/>
              </w:rPr>
            </w:pPr>
            <w:r w:rsidRPr="006E681A">
              <w:rPr>
                <w:rFonts w:ascii="Times New Roman" w:hAnsi="Times New Roman" w:cs="Times New Roman"/>
                <w:kern w:val="1"/>
                <w:sz w:val="22"/>
                <w:szCs w:val="22"/>
                <w:lang w:val="en-US"/>
              </w:rPr>
              <w:t> </w:t>
            </w:r>
          </w:p>
        </w:tc>
        <w:tc>
          <w:tcPr>
            <w:tcW w:w="5248" w:type="dxa"/>
            <w:tcMar>
              <w:top w:w="140" w:type="nil"/>
              <w:right w:w="140" w:type="nil"/>
            </w:tcMar>
          </w:tcPr>
          <w:p w:rsidR="00603A26" w:rsidRPr="006E681A" w:rsidRDefault="00603A26">
            <w:pPr>
              <w:widowControl w:val="0"/>
              <w:autoSpaceDE w:val="0"/>
              <w:autoSpaceDN w:val="0"/>
              <w:adjustRightInd w:val="0"/>
              <w:jc w:val="center"/>
              <w:rPr>
                <w:rFonts w:ascii="Times New Roman" w:hAnsi="Times New Roman" w:cs="Times New Roman"/>
                <w:kern w:val="1"/>
                <w:sz w:val="22"/>
                <w:szCs w:val="22"/>
                <w:lang w:val="en-US"/>
              </w:rPr>
            </w:pPr>
            <w:r w:rsidRPr="006E681A">
              <w:rPr>
                <w:rFonts w:ascii="Times New Roman" w:hAnsi="Times New Roman" w:cs="Times New Roman"/>
                <w:spacing w:val="8"/>
                <w:kern w:val="1"/>
                <w:sz w:val="22"/>
                <w:szCs w:val="22"/>
                <w:lang w:val="en-US"/>
              </w:rPr>
              <w:t> </w:t>
            </w:r>
          </w:p>
        </w:tc>
      </w:tr>
      <w:tr w:rsidR="00603A26" w:rsidRPr="006E681A" w:rsidTr="006E681A">
        <w:tblPrEx>
          <w:tblBorders>
            <w:top w:val="none" w:sz="0" w:space="0" w:color="auto"/>
          </w:tblBorders>
        </w:tblPrEx>
        <w:tc>
          <w:tcPr>
            <w:tcW w:w="7945" w:type="dxa"/>
            <w:tcMar>
              <w:top w:w="140" w:type="nil"/>
              <w:right w:w="140" w:type="nil"/>
            </w:tcMar>
          </w:tcPr>
          <w:p w:rsidR="00603A26" w:rsidRPr="006E681A" w:rsidRDefault="00603A26" w:rsidP="009C5A44">
            <w:pPr>
              <w:widowControl w:val="0"/>
              <w:autoSpaceDE w:val="0"/>
              <w:autoSpaceDN w:val="0"/>
              <w:adjustRightInd w:val="0"/>
              <w:jc w:val="right"/>
              <w:rPr>
                <w:rFonts w:ascii="Times New Roman" w:hAnsi="Times New Roman" w:cs="Times New Roman"/>
                <w:kern w:val="1"/>
                <w:sz w:val="22"/>
                <w:szCs w:val="22"/>
                <w:lang w:val="en-US"/>
              </w:rPr>
            </w:pPr>
            <w:r w:rsidRPr="006E681A">
              <w:rPr>
                <w:rFonts w:ascii="Times New Roman" w:hAnsi="Times New Roman" w:cs="Times New Roman"/>
                <w:b/>
                <w:bCs/>
                <w:spacing w:val="8"/>
                <w:kern w:val="1"/>
                <w:sz w:val="22"/>
                <w:szCs w:val="22"/>
                <w:lang w:val="en-US"/>
              </w:rPr>
              <w:t> </w:t>
            </w:r>
            <w:r w:rsidR="006E681A">
              <w:rPr>
                <w:noProof/>
                <w:lang w:eastAsia="es-VE"/>
              </w:rPr>
              <w:drawing>
                <wp:inline distT="0" distB="0" distL="0" distR="0" wp14:anchorId="4AC128F8" wp14:editId="6F4D87A9">
                  <wp:extent cx="609600" cy="74295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600" cy="742950"/>
                          </a:xfrm>
                          <a:prstGeom prst="rect">
                            <a:avLst/>
                          </a:prstGeom>
                          <a:noFill/>
                          <a:ln>
                            <a:noFill/>
                          </a:ln>
                        </pic:spPr>
                      </pic:pic>
                    </a:graphicData>
                  </a:graphic>
                </wp:inline>
              </w:drawing>
            </w:r>
          </w:p>
        </w:tc>
        <w:tc>
          <w:tcPr>
            <w:tcW w:w="10247" w:type="dxa"/>
            <w:gridSpan w:val="2"/>
            <w:tcMar>
              <w:top w:w="140" w:type="nil"/>
              <w:right w:w="140" w:type="nil"/>
            </w:tcMar>
          </w:tcPr>
          <w:p w:rsidR="00603A26" w:rsidRPr="006E681A" w:rsidRDefault="00603A26">
            <w:pPr>
              <w:widowControl w:val="0"/>
              <w:autoSpaceDE w:val="0"/>
              <w:autoSpaceDN w:val="0"/>
              <w:adjustRightInd w:val="0"/>
              <w:jc w:val="center"/>
              <w:rPr>
                <w:rFonts w:ascii="Times New Roman" w:hAnsi="Times New Roman" w:cs="Times New Roman"/>
                <w:kern w:val="1"/>
                <w:sz w:val="22"/>
                <w:szCs w:val="22"/>
                <w:lang w:val="en-US"/>
              </w:rPr>
            </w:pPr>
            <w:r w:rsidRPr="006E681A">
              <w:rPr>
                <w:rFonts w:ascii="Times New Roman" w:hAnsi="Times New Roman" w:cs="Times New Roman"/>
                <w:kern w:val="1"/>
                <w:sz w:val="22"/>
                <w:szCs w:val="22"/>
                <w:lang w:val="en-US"/>
              </w:rPr>
              <w:t> </w:t>
            </w:r>
          </w:p>
        </w:tc>
        <w:tc>
          <w:tcPr>
            <w:tcW w:w="5248" w:type="dxa"/>
            <w:tcMar>
              <w:top w:w="140" w:type="nil"/>
              <w:right w:w="140" w:type="nil"/>
            </w:tcMar>
          </w:tcPr>
          <w:p w:rsidR="00603A26" w:rsidRPr="006E681A" w:rsidRDefault="00603A26">
            <w:pPr>
              <w:widowControl w:val="0"/>
              <w:autoSpaceDE w:val="0"/>
              <w:autoSpaceDN w:val="0"/>
              <w:adjustRightInd w:val="0"/>
              <w:jc w:val="center"/>
              <w:rPr>
                <w:rFonts w:ascii="Times New Roman" w:hAnsi="Times New Roman" w:cs="Times New Roman"/>
                <w:kern w:val="1"/>
                <w:sz w:val="22"/>
                <w:szCs w:val="22"/>
                <w:lang w:val="en-US"/>
              </w:rPr>
            </w:pPr>
            <w:r w:rsidRPr="006E681A">
              <w:rPr>
                <w:rFonts w:ascii="Times New Roman" w:hAnsi="Times New Roman" w:cs="Times New Roman"/>
                <w:b/>
                <w:bCs/>
                <w:spacing w:val="8"/>
                <w:kern w:val="1"/>
                <w:sz w:val="22"/>
                <w:szCs w:val="22"/>
                <w:lang w:val="en-US"/>
              </w:rPr>
              <w:t> </w:t>
            </w:r>
          </w:p>
          <w:p w:rsidR="00603A26" w:rsidRPr="006E681A" w:rsidRDefault="00603A26">
            <w:pPr>
              <w:widowControl w:val="0"/>
              <w:autoSpaceDE w:val="0"/>
              <w:autoSpaceDN w:val="0"/>
              <w:adjustRightInd w:val="0"/>
              <w:jc w:val="center"/>
              <w:rPr>
                <w:rFonts w:ascii="Times New Roman" w:hAnsi="Times New Roman" w:cs="Times New Roman"/>
                <w:kern w:val="1"/>
                <w:sz w:val="22"/>
                <w:szCs w:val="22"/>
                <w:lang w:val="en-US"/>
              </w:rPr>
            </w:pPr>
            <w:r w:rsidRPr="006E681A">
              <w:rPr>
                <w:rFonts w:ascii="Times New Roman" w:hAnsi="Times New Roman" w:cs="Times New Roman"/>
                <w:b/>
                <w:bCs/>
                <w:spacing w:val="8"/>
                <w:kern w:val="1"/>
                <w:sz w:val="22"/>
                <w:szCs w:val="22"/>
                <w:lang w:val="en-US"/>
              </w:rPr>
              <w:t>MÓNICA MISTICCHIO</w:t>
            </w:r>
          </w:p>
          <w:p w:rsidR="00603A26" w:rsidRPr="006E681A" w:rsidRDefault="00603A26">
            <w:pPr>
              <w:widowControl w:val="0"/>
              <w:autoSpaceDE w:val="0"/>
              <w:autoSpaceDN w:val="0"/>
              <w:adjustRightInd w:val="0"/>
              <w:jc w:val="center"/>
              <w:rPr>
                <w:rFonts w:ascii="Times New Roman" w:hAnsi="Times New Roman" w:cs="Times New Roman"/>
                <w:kern w:val="1"/>
                <w:sz w:val="22"/>
                <w:szCs w:val="22"/>
                <w:lang w:val="en-US"/>
              </w:rPr>
            </w:pPr>
            <w:r w:rsidRPr="006E681A">
              <w:rPr>
                <w:rFonts w:ascii="Times New Roman" w:hAnsi="Times New Roman" w:cs="Times New Roman"/>
                <w:b/>
                <w:bCs/>
                <w:spacing w:val="8"/>
                <w:kern w:val="1"/>
                <w:sz w:val="22"/>
                <w:szCs w:val="22"/>
                <w:lang w:val="en-US"/>
              </w:rPr>
              <w:t>TORTORELLA</w:t>
            </w:r>
          </w:p>
          <w:p w:rsidR="00603A26" w:rsidRPr="006E681A" w:rsidRDefault="00603A26">
            <w:pPr>
              <w:widowControl w:val="0"/>
              <w:autoSpaceDE w:val="0"/>
              <w:autoSpaceDN w:val="0"/>
              <w:adjustRightInd w:val="0"/>
              <w:jc w:val="center"/>
              <w:rPr>
                <w:rFonts w:ascii="Times New Roman" w:hAnsi="Times New Roman" w:cs="Times New Roman"/>
                <w:kern w:val="1"/>
                <w:sz w:val="22"/>
                <w:szCs w:val="22"/>
                <w:lang w:val="en-US"/>
              </w:rPr>
            </w:pPr>
            <w:r w:rsidRPr="006E681A">
              <w:rPr>
                <w:rFonts w:ascii="Times New Roman" w:hAnsi="Times New Roman" w:cs="Times New Roman"/>
                <w:b/>
                <w:bCs/>
                <w:spacing w:val="8"/>
                <w:kern w:val="1"/>
                <w:sz w:val="22"/>
                <w:szCs w:val="22"/>
                <w:lang w:val="en-US"/>
              </w:rPr>
              <w:t> </w:t>
            </w:r>
          </w:p>
        </w:tc>
      </w:tr>
      <w:tr w:rsidR="006E681A" w:rsidRPr="006E681A" w:rsidTr="006E681A">
        <w:tblPrEx>
          <w:tblBorders>
            <w:top w:val="none" w:sz="0" w:space="0" w:color="auto"/>
          </w:tblBorders>
        </w:tblPrEx>
        <w:trPr>
          <w:gridAfter w:val="2"/>
          <w:wAfter w:w="10247" w:type="dxa"/>
        </w:trPr>
        <w:tc>
          <w:tcPr>
            <w:tcW w:w="7945" w:type="dxa"/>
            <w:tcMar>
              <w:top w:w="140" w:type="nil"/>
              <w:right w:w="140" w:type="nil"/>
            </w:tcMar>
          </w:tcPr>
          <w:p w:rsidR="006E681A" w:rsidRPr="006E681A" w:rsidRDefault="006E681A">
            <w:pPr>
              <w:widowControl w:val="0"/>
              <w:autoSpaceDE w:val="0"/>
              <w:autoSpaceDN w:val="0"/>
              <w:adjustRightInd w:val="0"/>
              <w:jc w:val="center"/>
              <w:rPr>
                <w:rFonts w:ascii="Times New Roman" w:hAnsi="Times New Roman" w:cs="Times New Roman"/>
                <w:kern w:val="1"/>
                <w:sz w:val="22"/>
                <w:szCs w:val="22"/>
                <w:lang w:val="en-US"/>
              </w:rPr>
            </w:pPr>
            <w:r w:rsidRPr="006E681A">
              <w:rPr>
                <w:rFonts w:ascii="Times New Roman" w:hAnsi="Times New Roman" w:cs="Times New Roman"/>
                <w:b/>
                <w:bCs/>
                <w:spacing w:val="8"/>
                <w:kern w:val="1"/>
                <w:sz w:val="22"/>
                <w:szCs w:val="22"/>
                <w:lang w:val="en-US"/>
              </w:rPr>
              <w:t> </w:t>
            </w:r>
          </w:p>
        </w:tc>
        <w:tc>
          <w:tcPr>
            <w:tcW w:w="5248" w:type="dxa"/>
            <w:tcMar>
              <w:top w:w="140" w:type="nil"/>
              <w:right w:w="140" w:type="nil"/>
            </w:tcMar>
          </w:tcPr>
          <w:p w:rsidR="006E681A" w:rsidRPr="006E681A" w:rsidRDefault="006E681A">
            <w:pPr>
              <w:widowControl w:val="0"/>
              <w:autoSpaceDE w:val="0"/>
              <w:autoSpaceDN w:val="0"/>
              <w:adjustRightInd w:val="0"/>
              <w:jc w:val="center"/>
              <w:rPr>
                <w:rFonts w:ascii="Times New Roman" w:hAnsi="Times New Roman" w:cs="Times New Roman"/>
                <w:kern w:val="1"/>
                <w:sz w:val="22"/>
                <w:szCs w:val="22"/>
                <w:lang w:val="en-US"/>
              </w:rPr>
            </w:pPr>
            <w:r w:rsidRPr="006E681A">
              <w:rPr>
                <w:rFonts w:ascii="Times New Roman" w:hAnsi="Times New Roman" w:cs="Times New Roman"/>
                <w:spacing w:val="8"/>
                <w:kern w:val="1"/>
                <w:sz w:val="22"/>
                <w:szCs w:val="22"/>
                <w:lang w:val="en-US"/>
              </w:rPr>
              <w:t> </w:t>
            </w:r>
          </w:p>
        </w:tc>
      </w:tr>
      <w:tr w:rsidR="006E681A" w:rsidRPr="006E681A" w:rsidTr="006E681A">
        <w:tblPrEx>
          <w:tblBorders>
            <w:top w:val="none" w:sz="0" w:space="0" w:color="auto"/>
          </w:tblBorders>
        </w:tblPrEx>
        <w:trPr>
          <w:gridAfter w:val="2"/>
          <w:wAfter w:w="10247" w:type="dxa"/>
        </w:trPr>
        <w:tc>
          <w:tcPr>
            <w:tcW w:w="7945" w:type="dxa"/>
            <w:tcMar>
              <w:top w:w="140" w:type="nil"/>
              <w:right w:w="140" w:type="nil"/>
            </w:tcMar>
          </w:tcPr>
          <w:p w:rsidR="006E681A" w:rsidRPr="006E681A" w:rsidRDefault="006E681A">
            <w:pPr>
              <w:widowControl w:val="0"/>
              <w:autoSpaceDE w:val="0"/>
              <w:autoSpaceDN w:val="0"/>
              <w:adjustRightInd w:val="0"/>
              <w:jc w:val="center"/>
              <w:rPr>
                <w:rFonts w:ascii="Times New Roman" w:hAnsi="Times New Roman" w:cs="Times New Roman"/>
                <w:kern w:val="1"/>
                <w:sz w:val="22"/>
                <w:szCs w:val="22"/>
                <w:lang w:val="en-US"/>
              </w:rPr>
            </w:pPr>
            <w:r w:rsidRPr="006E681A">
              <w:rPr>
                <w:rFonts w:ascii="Times New Roman" w:hAnsi="Times New Roman" w:cs="Times New Roman"/>
                <w:b/>
                <w:bCs/>
                <w:spacing w:val="8"/>
                <w:kern w:val="1"/>
                <w:sz w:val="22"/>
                <w:szCs w:val="22"/>
                <w:lang w:val="en-US"/>
              </w:rPr>
              <w:t> </w:t>
            </w:r>
          </w:p>
        </w:tc>
        <w:tc>
          <w:tcPr>
            <w:tcW w:w="5248" w:type="dxa"/>
            <w:tcMar>
              <w:top w:w="140" w:type="nil"/>
              <w:right w:w="140" w:type="nil"/>
            </w:tcMar>
          </w:tcPr>
          <w:p w:rsidR="006E681A" w:rsidRPr="006E681A" w:rsidRDefault="006E681A">
            <w:pPr>
              <w:widowControl w:val="0"/>
              <w:autoSpaceDE w:val="0"/>
              <w:autoSpaceDN w:val="0"/>
              <w:adjustRightInd w:val="0"/>
              <w:jc w:val="center"/>
              <w:rPr>
                <w:rFonts w:ascii="Times New Roman" w:hAnsi="Times New Roman" w:cs="Times New Roman"/>
                <w:kern w:val="1"/>
                <w:sz w:val="22"/>
                <w:szCs w:val="22"/>
                <w:lang w:val="en-US"/>
              </w:rPr>
            </w:pPr>
            <w:r w:rsidRPr="006E681A">
              <w:rPr>
                <w:rFonts w:ascii="Times New Roman" w:hAnsi="Times New Roman" w:cs="Times New Roman"/>
                <w:spacing w:val="8"/>
                <w:kern w:val="1"/>
                <w:sz w:val="22"/>
                <w:szCs w:val="22"/>
                <w:lang w:val="en-US"/>
              </w:rPr>
              <w:t> </w:t>
            </w:r>
          </w:p>
        </w:tc>
      </w:tr>
      <w:tr w:rsidR="00603A26" w:rsidRPr="006E681A" w:rsidTr="006E681A">
        <w:tc>
          <w:tcPr>
            <w:tcW w:w="7945" w:type="dxa"/>
            <w:tcMar>
              <w:top w:w="140" w:type="nil"/>
              <w:right w:w="140" w:type="nil"/>
            </w:tcMar>
          </w:tcPr>
          <w:p w:rsidR="00603A26" w:rsidRPr="006E681A" w:rsidRDefault="00603A26">
            <w:pPr>
              <w:widowControl w:val="0"/>
              <w:autoSpaceDE w:val="0"/>
              <w:autoSpaceDN w:val="0"/>
              <w:adjustRightInd w:val="0"/>
              <w:jc w:val="center"/>
              <w:rPr>
                <w:rFonts w:ascii="Times New Roman" w:hAnsi="Times New Roman" w:cs="Times New Roman"/>
                <w:kern w:val="1"/>
                <w:sz w:val="22"/>
                <w:szCs w:val="22"/>
                <w:lang w:val="en-US"/>
              </w:rPr>
            </w:pPr>
            <w:r w:rsidRPr="006E681A">
              <w:rPr>
                <w:rFonts w:ascii="Times New Roman" w:hAnsi="Times New Roman" w:cs="Times New Roman"/>
                <w:b/>
                <w:bCs/>
                <w:spacing w:val="8"/>
                <w:kern w:val="1"/>
                <w:sz w:val="22"/>
                <w:szCs w:val="22"/>
                <w:lang w:val="en-US"/>
              </w:rPr>
              <w:t> </w:t>
            </w:r>
          </w:p>
        </w:tc>
        <w:tc>
          <w:tcPr>
            <w:tcW w:w="10247" w:type="dxa"/>
            <w:gridSpan w:val="2"/>
            <w:tcMar>
              <w:top w:w="140" w:type="nil"/>
              <w:right w:w="140" w:type="nil"/>
            </w:tcMar>
          </w:tcPr>
          <w:p w:rsidR="00603A26" w:rsidRPr="006E681A" w:rsidRDefault="009C5A44" w:rsidP="009C5A44">
            <w:pPr>
              <w:widowControl w:val="0"/>
              <w:autoSpaceDE w:val="0"/>
              <w:autoSpaceDN w:val="0"/>
              <w:adjustRightInd w:val="0"/>
              <w:jc w:val="center"/>
              <w:rPr>
                <w:rFonts w:ascii="Times New Roman" w:hAnsi="Times New Roman" w:cs="Times New Roman"/>
                <w:kern w:val="1"/>
                <w:sz w:val="22"/>
                <w:szCs w:val="22"/>
                <w:lang w:val="en-US"/>
              </w:rPr>
            </w:pPr>
            <w:r>
              <w:rPr>
                <w:rFonts w:ascii="Times New Roman" w:hAnsi="Times New Roman" w:cs="Times New Roman"/>
                <w:kern w:val="1"/>
                <w:sz w:val="22"/>
                <w:szCs w:val="22"/>
                <w:lang w:val="en-US"/>
              </w:rPr>
              <w:t>La Sec</w:t>
            </w:r>
            <w:r>
              <w:rPr>
                <w:rFonts w:ascii="Times New Roman" w:hAnsi="Times New Roman" w:cs="Times New Roman"/>
                <w:b/>
                <w:bCs/>
                <w:kern w:val="1"/>
                <w:sz w:val="22"/>
                <w:szCs w:val="22"/>
                <w:lang w:val="en-US"/>
              </w:rPr>
              <w:t>AMIL</w:t>
            </w:r>
          </w:p>
        </w:tc>
        <w:tc>
          <w:tcPr>
            <w:tcW w:w="5248" w:type="dxa"/>
            <w:tcMar>
              <w:top w:w="140" w:type="nil"/>
              <w:right w:w="140" w:type="nil"/>
            </w:tcMar>
          </w:tcPr>
          <w:p w:rsidR="00603A26" w:rsidRPr="006E681A" w:rsidRDefault="00603A26">
            <w:pPr>
              <w:widowControl w:val="0"/>
              <w:autoSpaceDE w:val="0"/>
              <w:autoSpaceDN w:val="0"/>
              <w:adjustRightInd w:val="0"/>
              <w:jc w:val="center"/>
              <w:rPr>
                <w:rFonts w:ascii="Times New Roman" w:hAnsi="Times New Roman" w:cs="Times New Roman"/>
                <w:kern w:val="1"/>
                <w:sz w:val="22"/>
                <w:szCs w:val="22"/>
                <w:lang w:val="en-US"/>
              </w:rPr>
            </w:pPr>
            <w:r w:rsidRPr="006E681A">
              <w:rPr>
                <w:rFonts w:ascii="Times New Roman" w:hAnsi="Times New Roman" w:cs="Times New Roman"/>
                <w:spacing w:val="8"/>
                <w:kern w:val="1"/>
                <w:sz w:val="22"/>
                <w:szCs w:val="22"/>
                <w:lang w:val="en-US"/>
              </w:rPr>
              <w:t> </w:t>
            </w:r>
          </w:p>
        </w:tc>
      </w:tr>
    </w:tbl>
    <w:p w:rsidR="00603A26" w:rsidRPr="006E681A" w:rsidRDefault="00603A26">
      <w:pPr>
        <w:rPr>
          <w:rFonts w:ascii="Times New Roman" w:hAnsi="Times New Roman" w:cs="Times New Roman"/>
          <w:sz w:val="22"/>
          <w:szCs w:val="22"/>
        </w:rPr>
      </w:pPr>
    </w:p>
    <w:sectPr w:rsidR="00603A26" w:rsidRPr="006E681A" w:rsidSect="000802CB">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AFF" w:usb1="C0007843" w:usb2="00000009" w:usb3="00000000" w:csb0="000001F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A26"/>
    <w:rsid w:val="000802CB"/>
    <w:rsid w:val="001D5A3B"/>
    <w:rsid w:val="00603A26"/>
    <w:rsid w:val="006E681A"/>
    <w:rsid w:val="007724FA"/>
    <w:rsid w:val="00973ACF"/>
    <w:rsid w:val="009C5A44"/>
    <w:rsid w:val="00A87072"/>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126235F-E8CC-499E-8DEB-BC0A9D44E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s-ES_tradn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603A26"/>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603A26"/>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_top"/><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hyperlink" Target="http://www.monografias.com/trabajos36/derecho-laboral/derecho-laboral.shtml" TargetMode="External"/><Relationship Id="rId10" Type="http://schemas.openxmlformats.org/officeDocument/2006/relationships/image" Target="media/image5.png"/><Relationship Id="rId4" Type="http://schemas.openxmlformats.org/officeDocument/2006/relationships/hyperlink" Target="#AAA"/><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Pages>
  <Words>12585</Words>
  <Characters>69222</Characters>
  <Application>Microsoft Office Word</Application>
  <DocSecurity>0</DocSecurity>
  <Lines>576</Lines>
  <Paragraphs>163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81644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JAIR DE FREITAS</dc:creator>
  <cp:keywords/>
  <dc:description/>
  <cp:lastModifiedBy>MARÍA TORRES</cp:lastModifiedBy>
  <cp:revision>2</cp:revision>
  <dcterms:created xsi:type="dcterms:W3CDTF">2013-09-25T15:02:00Z</dcterms:created>
  <dcterms:modified xsi:type="dcterms:W3CDTF">2013-09-25T15:02:00Z</dcterms:modified>
</cp:coreProperties>
</file>