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 Xbox Era Asset Fidelity Target</w:t>
      </w:r>
    </w:p>
    <w:p>
      <w:pPr>
        <w:spacing w:after="160"/>
      </w:pPr>
      <w:r>
        <w:rPr>
          <w:i/>
          <w:color w:val="4B5866"/>
          <w:sz w:val="20"/>
        </w:rPr>
        <w:t>A practical visual and triangle-count target for gameplay assets</w:t>
      </w:r>
    </w:p>
    <w:p>
      <w:pPr>
        <w:spacing w:after="120"/>
      </w:pPr>
      <w:r>
        <w:rPr>
          <w:b/>
        </w:rPr>
        <w:t xml:space="preserve">Target: </w:t>
      </w:r>
      <w:r>
        <w:t>Use the original Halo: Combat Evolved as a fidelity reference, not as a requirement to copy its exact meshes. Assets should read clearly at normal gameplay distance through strong silhouettes, purposeful shape changes, and surface detail carried mostly by texture, lighting, and color.</w:t>
      </w:r>
    </w:p>
    <w:p>
      <w:pPr>
        <w:spacing w:after="140"/>
        <w:ind w:left="259" w:right="259"/>
      </w:pPr>
      <w:r>
        <w:rPr>
          <w:b/>
          <w:i/>
          <w:sz w:val="20"/>
        </w:rPr>
        <w:t>Think of each asset as a stage prop viewed from a fixed camera: spend polygons where they change the silhouette or catch the light; keep hidden and flat areas simple.</w:t>
      </w:r>
    </w:p>
    <w:p>
      <w:pPr>
        <w:pStyle w:val="Heading1"/>
        <w:keepNext/>
      </w:pPr>
      <w:r>
        <w:t>Starting triangle budgets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160"/>
      </w:tblGrid>
      <w:tr>
        <w:trPr>
          <w:cantSplit/>
        </w:trPr>
        <w:tc>
          <w:tcPr>
            <w:tcW w:type="dxa" w:w="5083"/>
            <w:vAlign w:val="center"/>
            <w:shd w:fill="244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5083"/>
            <w:vAlign w:val="center"/>
            <w:shd w:fill="244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Starting target (triangles)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Player or hero character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1,500–2,500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EEF3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Standard enemy or NPC</w:t>
            </w:r>
          </w:p>
        </w:tc>
        <w:tc>
          <w:tcPr>
            <w:tcW w:type="dxa" w:w="2160"/>
            <w:vAlign w:val="center"/>
            <w:shd w:fill="EEF3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1,000–2,000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First-person weapon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800–2,000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EEF3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Small reusable prop</w:t>
            </w:r>
          </w:p>
        </w:tc>
        <w:tc>
          <w:tcPr>
            <w:tcW w:type="dxa" w:w="2160"/>
            <w:vAlign w:val="center"/>
            <w:shd w:fill="EEF3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100–500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Medium prop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500–1,500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EEF3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Prominent set-piece</w:t>
            </w:r>
          </w:p>
        </w:tc>
        <w:tc>
          <w:tcPr>
            <w:tcW w:type="dxa" w:w="2160"/>
            <w:vAlign w:val="center"/>
            <w:shd w:fill="EEF3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1,500–3,000</w:t>
            </w:r>
          </w:p>
        </w:tc>
      </w:tr>
    </w:tbl>
    <w:p>
      <w:pPr>
        <w:pStyle w:val="Heading1"/>
        <w:keepNext/>
      </w:pPr>
      <w:r>
        <w:t>Modeling rules</w:t>
      </w:r>
    </w:p>
    <w:p>
      <w:pPr>
        <w:spacing w:after="40"/>
        <w:ind w:left="173" w:hanging="173"/>
      </w:pPr>
      <w:r>
        <w:rPr>
          <w:b/>
        </w:rPr>
        <w:t xml:space="preserve">• </w:t>
      </w:r>
      <w:r>
        <w:rPr>
          <w:b/>
        </w:rPr>
        <w:t xml:space="preserve">Silhouette first. </w:t>
      </w:r>
      <w:r>
        <w:t>The object should be recognizable at gameplay distance, even without its texture.</w:t>
      </w:r>
    </w:p>
    <w:p>
      <w:pPr>
        <w:spacing w:after="40"/>
        <w:ind w:left="173" w:hanging="173"/>
      </w:pPr>
      <w:r>
        <w:rPr>
          <w:b/>
        </w:rPr>
        <w:t xml:space="preserve">• </w:t>
      </w:r>
      <w:r>
        <w:rPr>
          <w:b/>
        </w:rPr>
        <w:t xml:space="preserve">Geometry for big forms. </w:t>
      </w:r>
      <w:r>
        <w:t>Use polygons for contours, armor plates, chunky bevels, and features that change the outline or catch light.</w:t>
      </w:r>
    </w:p>
    <w:p>
      <w:pPr>
        <w:spacing w:after="40"/>
        <w:ind w:left="173" w:hanging="173"/>
      </w:pPr>
      <w:r>
        <w:rPr>
          <w:b/>
        </w:rPr>
        <w:t xml:space="preserve">• </w:t>
      </w:r>
      <w:r>
        <w:rPr>
          <w:b/>
        </w:rPr>
        <w:t xml:space="preserve">Texture for small detail. </w:t>
      </w:r>
      <w:r>
        <w:t>Use texture, color blocks, and lighting to suggest seams, wear, and fine surface features.</w:t>
      </w:r>
    </w:p>
    <w:p>
      <w:pPr>
        <w:spacing w:after="40"/>
        <w:ind w:left="173" w:hanging="173"/>
      </w:pPr>
      <w:r>
        <w:rPr>
          <w:b/>
        </w:rPr>
        <w:t xml:space="preserve">• </w:t>
      </w:r>
      <w:r>
        <w:rPr>
          <w:b/>
        </w:rPr>
        <w:t xml:space="preserve">Simplify and reuse. </w:t>
      </w:r>
      <w:r>
        <w:t>Repeat modular pieces where practical; reduce detail on small or distant assets.</w:t>
      </w:r>
    </w:p>
    <w:p>
      <w:pPr>
        <w:spacing w:after="40"/>
        <w:ind w:left="173" w:hanging="173"/>
      </w:pPr>
      <w:r>
        <w:rPr>
          <w:b/>
        </w:rPr>
        <w:t xml:space="preserve">• </w:t>
      </w:r>
      <w:r>
        <w:rPr>
          <w:b/>
        </w:rPr>
        <w:t xml:space="preserve">Judge in context. </w:t>
      </w:r>
      <w:r>
        <w:t>Triangle count is one cost among several. Materials, two-sided surfaces, effects, and what is visible together all matter.</w:t>
      </w:r>
    </w:p>
    <w:p>
      <w:pPr>
        <w:spacing w:before="100" w:after="60"/>
      </w:pPr>
      <w:r>
        <w:rPr>
          <w:b/>
        </w:rPr>
        <w:t xml:space="preserve">Art test: </w:t>
      </w:r>
      <w:r>
        <w:t>If removing a row of polygons does not change the silhouette, shape read, or lighting, it probably does not need to be geometry.</w:t>
      </w:r>
    </w:p>
    <w:p>
      <w:pPr>
        <w:spacing w:before="80" w:after="0"/>
      </w:pPr>
      <w:r>
        <w:rPr>
          <w:b/>
        </w:rPr>
        <w:t xml:space="preserve">Basis and caveat: </w:t>
      </w:r>
      <w:r>
        <w:t>The ~2,000-polygon Master Chief figure is a community-maintained estimate. Bungie engineer Chris Butcher separately described one Halo CE view as roughly 30,000 environment polygons plus 100,000 model polygons. Those figures describe different things; neither is a universal per-asset cap. The table above is a practical starting target for an Xbox-era-inspired look, then should be validated in Godot with the complete scene.</w:t>
      </w:r>
    </w:p>
    <w:p>
      <w:pPr>
        <w:spacing w:before="60" w:after="0"/>
      </w:pPr>
      <w:r>
        <w:rPr>
          <w:b/>
        </w:rPr>
        <w:t xml:space="preserve">References: </w:t>
      </w:r>
      <w:r>
        <w:t>Chris Butcher, “Get Into the Game: Bonus Level” (halo.bungie.org); Halo Editing Kit, “General Model Information” and “General Level Design Information” (halo.bungie.org); Polycount, “Triangle counts for assets from various videogames.”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C23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Xbox Era Asset Fidelity Target</dc:title>
  <dc:subject>Visual fidelity and starting triangle budgets for game assets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