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34AB7"/>
          <w:sz w:val="40"/>
          <w:szCs w:val="40"/>
        </w:rPr>
        <w:t xml:space="preserve">墨写 · 用量与额度（积分）设计文档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个人风格写作 Agent SaaS · v1 草案</w:t>
      </w:r>
    </w:p>
    <w:p>
      <w:pPr>
        <w:pStyle w:val="Heading1"/>
      </w:pPr>
      <w:r>
        <w:t xml:space="preserve">1. 背景与目标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墨写基于大模型（当前为 Qwen3.7-Plus，风格分析与文章生成共用同一模型）为用户生成具有个人风格的散文、小说、诗歌等。由于模型调用存在真实成本，且不同用户需要差异化的功能与用量，需要一套「用量额度 + 用户等级」体系，实现：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对用户：用量透明、按能力付费、长文更划算；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对平台：限制单用户资源消耗、按等级控制功能权限、保证商业化毛利；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对工程：额度与具体模型解耦，便于后续换模型或做促销。</w:t>
      </w:r>
    </w:p>
    <w:p>
      <w:pPr>
        <w:pStyle w:val="Heading1"/>
      </w:pPr>
      <w:r>
        <w:t xml:space="preserve">2. 积分定位与成本模型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积分为「用户侧用量配额单位」，不直接等于人民币。目的是与具体模型解耦。真实成本按每次调用的 input/output token 实时计算，仅用于平台内部核算，不展示给用户。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取值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Qwen3.7-Plus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风格分析 + 文章生成 同一模型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输入单价（≤256k）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¥1.6 / M 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截图限时 8 折价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输出单价（≤256k）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¥6.4 / M 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截图限时 8 折价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每汉字 ≈ 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中文经验值，用于估算输出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文章基础输入 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约 1500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风格档案(~1000) + 写作要求(~500)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平均单积分成本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¥0.0043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按 2000字中篇测算：输入1500+输出3000 tokens ≈ ¥0.0216 / 5 积分</w:t>
            </w:r>
          </w:p>
        </w:tc>
      </w:tr>
    </w:tbl>
    <w:p>
      <w:pPr>
        <w:pStyle w:val="Heading1"/>
      </w:pPr>
      <w:r>
        <w:t xml:space="preserve">3. 各操作花费积分设计</w:t>
      </w:r>
    </w:p>
    <w:p>
      <w:pPr>
        <w:pStyle w:val="Heading2"/>
      </w:pPr>
      <w:r>
        <w:t xml:space="preserve">3.1 文章生成（按长度分档，长文享折扣）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按输出字数分档计费，不是严格线性比例：前 1000 字单价最高，越长单位价格越低，引导深度创作。锚点由产品设定：1000字=3分、2000字=5分、3000字=8分。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长度档（字）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消耗积分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每千字平均积分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≤1000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基础档，单价最高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≤2000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折扣档，单位比 1000 字更低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≤3000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2.67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锚点：越长单位价越低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≤4000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2.75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之后每千字约 +3 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≤5000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2.80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≤8000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2.75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长文创作场景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≤10000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2.90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上限，超出联系商务</w:t>
            </w:r>
          </w:p>
        </w:tc>
      </w:tr>
    </w:tbl>
    <w:p>
      <w:pPr>
        <w:pStyle w:val="Heading2"/>
      </w:pPr>
      <w:r>
        <w:t xml:space="preserve">3.2 其他操作（固定积分）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操作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消耗积分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风格分析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上传作品诊断六维风格，一次性动作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段落重写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每次重写消耗，与长度无关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风格档案编辑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免费，不计入额度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文章保存 / 下载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免费；仅按等级开放功能权限</w:t>
            </w:r>
          </w:p>
        </w:tc>
      </w:tr>
    </w:tbl>
    <w:p>
      <w:pPr>
        <w:pStyle w:val="Heading1"/>
      </w:pPr>
      <w:r>
        <w:t xml:space="preserve">4. 用户等级与套餐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采用「包月订阅」模式：每级套餐含固定月积分 + 功能/数量权限。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1500"/>
        <w:gridCol w:w="1500"/>
        <w:gridCol w:w="130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等级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月费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月积分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风格上限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作品上限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下载docx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段落重写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免费版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¥0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基础版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¥19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专业版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¥49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团队版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¥199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不限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不限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权限补充：免费版仅可生成 ≤2000 字内容，不支持下载与重写；付费档开放下载、重写与长文；团队版额外含成员管理、共享风格与优先队列。</w:t>
      </w:r>
    </w:p>
    <w:p>
      <w:pPr>
        <w:pStyle w:val="Heading1"/>
      </w:pPr>
      <w:r>
        <w:t xml:space="preserve">5. 盈亏测算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以专业版（¥49/月，200 积分）为例，按平均单积分成本 ¥0.0043 测算不同使用率下的真实利润：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1800"/>
        <w:gridCol w:w="1800"/>
        <w:gridCol w:w="1800"/>
        <w:gridCol w:w="1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使用率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实际消耗积分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实际成本(¥)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月收入(¥)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毛利(¥)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毛利率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48.83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98.0%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48.57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94.9%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48.14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89.8%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即便用户 100% 用满额度，各档毛利率仍约 98%（大模型成本极低）。实际平均使用率通常 20%~50%，真实毛利更高，商业化空间充足。</w:t>
      </w:r>
    </w:p>
    <w:p>
      <w:pPr>
        <w:pStyle w:val="Heading1"/>
      </w:pPr>
      <w:r>
        <w:t xml:space="preserve">6. 后端实施方案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表新增：tier、monthly_quota、used_quota、quota_resets_at。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UsageRecord 表：operation_type、input_tokens、output_tokens、points_consumed、cost_cny、model、created_at。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生成 / 分析前校验剩余额度（points ≤ remaining），不足返回 402/403 友好提示。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quota_resets_at 到期自动重置 used_quota = 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前端在写作页/设置页展示「本月剩余积分」与「本次消耗积分」。</w:t>
      </w:r>
    </w:p>
    <w:p>
      <w:pPr>
        <w:pStyle w:val="Heading1"/>
      </w:pPr>
      <w:r>
        <w:t xml:space="preserve">7. 待确认事项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免费版 10 积分是否合适（约 3 篇短文或 1 篇长文）？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文章长度分档积分是否采用上文锚点（1000/2000/3000 = 3/5/8）？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是否需要引入「积分包」或「按量付费」作为订阅之外的补充？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是否现在落库实现（User + UsageRecord + 额度校验中间件）？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2026-08-08T13:59:08.421Z</dcterms:created>
  <dcterms:modified xsi:type="dcterms:W3CDTF">2026-08-08T13:59:08.423Z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