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864"/>
          <w:sz w:val="72"/>
          <w:szCs w:val="72"/>
        </w:rPr>
        <w:t xml:space="preserve">THE WATCHER</w:t>
      </w:r>
    </w:p>
    <w:p>
      <w:pPr>
        <w:spacing w:after="120"/>
        <w:jc w:val="center"/>
      </w:pPr>
      <w:r>
        <w:rPr>
          <w:color w:val="1F4E79"/>
          <w:sz w:val="32"/>
          <w:szCs w:val="32"/>
        </w:rPr>
        <w:t xml:space="preserve">A Flight Data Recorder for Ethical Hackers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Product &amp; Technical Design Brief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Real-time terminal telemetry, AI contextualization, and pedagogical analytics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for students, ethical hackers, and junior SOC / pentest analysts</w:t>
      </w:r>
    </w:p>
    <w:p>
      <w:pPr>
        <w:spacing w:before="800"/>
        <w:jc w:val="center"/>
      </w:pPr>
      <w:r>
        <w:rPr>
          <w:color w:val="808080"/>
          <w:sz w:val="20"/>
          <w:szCs w:val="20"/>
        </w:rPr>
        <w:t xml:space="preserve">Version 1.0  ·  Confidential Draft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 w:line="276"/>
      </w:pPr>
      <w:r>
        <w:rPr>
          <w:b/>
          <w:bCs/>
        </w:rPr>
        <w:t xml:space="preserve">The Watcher </w:t>
      </w:r>
      <w:r>
        <w:t xml:space="preserve">is a local-first “flight data recorder” for offensive-security practice. It runs as a lightweight, secure Tauri desktop app with a Tailwind CSS + React markdown-rendering frontend, capturing a practitioner’s live terminal activity, intelligently cleaning the noise, mapping the progression to MITRE ATT&amp;CK, and generating an interactive educational report that compares the user’s path to an optimized standard.</w:t>
      </w:r>
    </w:p>
    <w:p>
      <w:pPr>
        <w:spacing w:after="160" w:line="276"/>
      </w:pPr>
      <w:r>
        <w:t xml:space="preserve">It solves two problems at once. First, documentation drudgery: practitioners hate pausing their flow to write report notes, so The Watcher records continuously and writes the report for them. Second, skill gaps: fully autonomous agents (PentestGPT, PentAGI) replace the human and teach nothing, while post-facto report managers (PlexTrac) require manual data dumping. The Watcher is the only tool that monitors a human’s active steps, denoises them, and produces retrospective educational analytics.</w:t>
      </w:r>
    </w:p>
    <w:p>
      <w:pPr>
        <w:spacing w:after="160" w:line="276"/>
      </w:pPr>
      <w:r>
        <w:t xml:space="preserve">The design rests on four commitments that recur throughout this brief: an antivirus-safe capture model that mimics terminal multiplexers rather than debuggers; an offline-by-default AI pipeline using local quantized models so nothing leaves the machine; a deterministic-first processing philosophy that reserves the LLM for semantic judgment only; and an open-source capture core that doubles as the trust contract and the distribution engine.</w:t>
      </w:r>
    </w:p>
    <w:p>
      <w:pPr>
        <w:pStyle w:val="Heading2"/>
      </w:pPr>
      <w:r>
        <w:t xml:space="preserve">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Limitation The Watcher addresses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Autonomous agents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PentestGPT, PentAGI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the human — no skill development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 assistants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PentestPad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 execute commands, not retrospective learning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Post-facto managers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PlexTrac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Corporate; require manual CSV/XML uploads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Watcher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Monitors live human steps, denoises, maps, and coaches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spacing w:after="160" w:line="276"/>
      </w:pPr>
      <w:r>
        <w:t xml:space="preserve">The Watcher is composed of five cooperating layers. Two capture agents feed a single encrypted local store; a deterministic-first AI pipeline contextualizes the stream; a Tauri/React frontend renders the report; and an optional Enterprise Bridge collects signed, redacted attestations for institutions.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Capture (dual-agent)        Storage           Processing                 Output / Bridge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-----------------------     -------------     ----------------------     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Local daemon (Go/Rust) -&gt;   Encrypted     -&gt;  Deterministic segment  -&gt;  Tauri + React report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PTY shim, shell hooks      SQLite            + local quantized LLM       (interactive markdown)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Browser extension (MV3) -&gt;   (SQLCipher)       (Ollama / llama.cpp)        Portable HTML export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WebSocket / xterm tap                        MITRE clustering, CVE        Enterprise Bridge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In-VM daemon (fallback)                        enrichment, path diff        (signed attestations)</w:t>
            </w:r>
          </w:p>
        </w:tc>
      </w:tr>
    </w:tbl>
    <w:p>
      <w:pPr>
        <w:spacing w:after="160" w:line="276"/>
      </w:pPr>
      <w:r>
        <w:rPr>
          <w:b/>
          <w:bCs/>
        </w:rPr>
        <w:t xml:space="preserve">The connective insight. </w:t>
      </w:r>
      <w:r>
        <w:t xml:space="preserve">You almost never need an agent on the far side of a boundary — you shim the thing that crosses it. SSH, docker exec, and kubectl exec all launch from a terminal the host daemon already owns, so their PTYs are captured for free. Every event is tagged with a </w:t>
      </w:r>
      <w:r>
        <w:rPr>
          <w:rFonts w:ascii="Consolas" w:cs="Consolas" w:eastAsia="Consolas" w:hAnsi="Consolas"/>
          <w:sz w:val="18"/>
          <w:szCs w:val="18"/>
        </w:rPr>
        <w:t xml:space="preserve">context_path</w:t>
      </w:r>
      <w:r>
        <w:t xml:space="preserve"> (host → vm → container) so downstream analytics stay boundary-aware.</w:t>
      </w:r>
    </w:p>
    <w:p>
      <w:r>
        <w:br w:type="page"/>
      </w:r>
    </w:p>
    <w:p>
      <w:pPr>
        <w:pStyle w:val="Heading1"/>
      </w:pPr>
      <w:r>
        <w:t xml:space="preserve">3. Module 1 — Dual-Agent Capture Architecture</w:t>
      </w:r>
    </w:p>
    <w:p>
      <w:pPr>
        <w:spacing w:after="160" w:line="276"/>
      </w:pPr>
      <w:r>
        <w:t xml:space="preserve">The Watcher captures two distinct streams that most recorders wrongly conflate: what the human typed (intent) and what the screen showed (result). Keeping them separate and re-joining them on a timeline is what makes the downstream analytics possible.</w:t>
      </w:r>
    </w:p>
    <w:p>
      <w:pPr>
        <w:pStyle w:val="Heading2"/>
      </w:pPr>
      <w:r>
        <w:t xml:space="preserve">3.1 Local daemon — AV-safe terminal capture</w:t>
      </w:r>
    </w:p>
    <w:p>
      <w:pPr>
        <w:spacing w:after="160" w:line="276"/>
      </w:pPr>
      <w:r>
        <w:rPr>
          <w:b/>
          <w:bCs/>
        </w:rPr>
        <w:t xml:space="preserve">Principle: look like tmux, not like a debugger. </w:t>
      </w:r>
      <w:r>
        <w:t xml:space="preserve">Use only userspace pseudo-terminal interfaces — the daemon forks, allocates a PTY, and execs the user’s shell as the child, an identical syscall signature to every terminal multiplexer. Avoid eBPF, ptrace, LD_PRELOAD, and /dev/input keyloggers, all of which trip EDR heuristics.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eBPF / ptrace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Avoid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other processes’ memory — textbook EDR alert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LD_PRELOAD hooks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Avoid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 injection is a top AV heuristic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/dev/input keylogger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Avoid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keystroke capture — privacy + AV nightmare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 hooks only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commands, but no output / no TUIs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PTY shim + shell hooks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Userspace only; full fidelity + clean boundaries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Clean boundaries without parsing prompts. </w:t>
      </w:r>
      <w:r>
        <w:t xml:space="preserve">Command text, working directory, and exit code come from shell hooks (</w:t>
      </w:r>
      <w:r>
        <w:rPr>
          <w:rFonts w:ascii="Consolas" w:cs="Consolas" w:eastAsia="Consolas" w:hAnsi="Consolas"/>
          <w:sz w:val="18"/>
          <w:szCs w:val="18"/>
        </w:rPr>
        <w:t xml:space="preserve">preexec/precmd</w:t>
      </w:r>
      <w:r>
        <w:t xml:space="preserve"> in Zsh, </w:t>
      </w:r>
      <w:r>
        <w:rPr>
          <w:rFonts w:ascii="Consolas" w:cs="Consolas" w:eastAsia="Consolas" w:hAnsi="Consolas"/>
          <w:sz w:val="18"/>
          <w:szCs w:val="18"/>
        </w:rPr>
        <w:t xml:space="preserve">trap DEBUG + PROMPT_COMMAND</w:t>
      </w:r>
      <w:r>
        <w:t xml:space="preserve"> in Bash) emitted over a unix socket; raw output comes from the PTY master through a VT parser (the </w:t>
      </w:r>
      <w:r>
        <w:rPr>
          <w:rFonts w:ascii="Consolas" w:cs="Consolas" w:eastAsia="Consolas" w:hAnsi="Consolas"/>
          <w:sz w:val="18"/>
          <w:szCs w:val="18"/>
        </w:rPr>
        <w:t xml:space="preserve">vte</w:t>
      </w:r>
      <w:r>
        <w:t xml:space="preserve"> crate or </w:t>
      </w:r>
      <w:r>
        <w:rPr>
          <w:rFonts w:ascii="Consolas" w:cs="Consolas" w:eastAsia="Consolas" w:hAnsi="Consolas"/>
          <w:sz w:val="18"/>
          <w:szCs w:val="18"/>
        </w:rPr>
        <w:t xml:space="preserve">vt10x</w:t>
      </w:r>
      <w:r>
        <w:t xml:space="preserve">). You join them by timestamp.</w:t>
      </w:r>
    </w:p>
    <w:p>
      <w:pPr>
        <w:spacing w:after="160" w:line="276"/>
      </w:pPr>
      <w:r>
        <w:rPr>
          <w:b/>
          <w:bCs/>
        </w:rPr>
        <w:t xml:space="preserve">The ECHO-flag password trick. </w:t>
      </w:r>
      <w:r>
        <w:t xml:space="preserve">Because the daemon owns the PTY it can read the termios state in real time. When the ECHO bit is off (sudo, ssh, mysql -p), it masks stdin deterministically before storage — no false negatives on the most dangerous data class.</w:t>
      </w:r>
    </w:p>
    <w:p>
      <w:pPr>
        <w:pStyle w:val="Heading3"/>
      </w:pPr>
      <w:r>
        <w:t xml:space="preserve">PTY wrapper boilerplate (Go) — with non-blocking capture</w:t>
      </w:r>
    </w:p>
    <w:p>
      <w:pPr>
        <w:spacing w:after="160" w:line="276"/>
      </w:pPr>
      <w:r>
        <w:t xml:space="preserve">The render path is sacred and synchronous; capture is best-effort and async. capture.Write must be O(1) so the terminal never hitches, even mid-exploit. Slow work (redaction, batched SQLCipher writes) happens on a separate consumer goroutine; a full buffer spills to a fast append-only file rather than dropping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"io"; "os"; "os/exec"; "os/signal"; "sync/atomic"; "syscall"; "time"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"github.com/creack/pty"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"golang.org/x/term"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 Event struct{ stream string; data []byte; t time.Time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events  = make(chan Event, 8192) // bounded buffer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dropped uint64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 capture struct{ stream string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 (c capture) Write(p []byte) (int, 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 := append([]byte(nil), p...)        // copy: p is reused by io.Copy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case events &lt;- Event{c.stream, b, time.Now()}: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default: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spillRaw(b)                        // never block - spill, don't drop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atomic.AddUint64(&amp;dropped,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len(p), nil                     // returns instantly; render never waits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 drain() { for e := range events { ingest(e) } } // redaction + SQLCipher here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cmd := exec.Command(os.Getenv("SHELL"))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ptmx, err := pty.Start(cmd)            // fork + PTY, exec shell as child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err != nil { panic(err)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defer ptmx.Close()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go drain()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 := make(chan os.Signal, 1)          // forward window resizes (SIGWINCH)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signal.Notify(ch, syscall.SIGWINCH)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go func() { for range ch { _ = pty.InheritSize(os.Stdin, ptmx) } }()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 &lt;- syscall.SIGWINCH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old, _ := term.MakeRaw(int(os.Stdin.Fd()))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defer term.Restore(int(os.Stdin.Fd()), old)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go func() { _, _ = io.Copy(ptmx, io.TeeReader(os.Stdin, capture{"stdin"})) }()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_, _ = io.Copy(io.MultiWriter(os.Stdout, capture{"stdout"}), ptmx)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</w:pPr>
      <w:r>
        <w:t xml:space="preserve">3.2 Browser extension — capturing in-browser terminals</w:t>
      </w:r>
    </w:p>
    <w:p>
      <w:pPr>
        <w:spacing w:after="160" w:line="276"/>
      </w:pPr>
      <w:r>
        <w:t xml:space="preserve">There are two kinds of web terminal and only one is browser-capturable. </w:t>
      </w:r>
      <w:r>
        <w:rPr>
          <w:b/>
          <w:bCs/>
        </w:rPr>
        <w:t xml:space="preserve">Text terminals </w:t>
      </w:r>
      <w:r>
        <w:t xml:space="preserve">(xterm.js + WebSocket: ttyd, wetty, GoTTY, embedded consoles) can be tapped. </w:t>
      </w:r>
      <w:r>
        <w:rPr>
          <w:b/>
          <w:bCs/>
        </w:rPr>
        <w:t xml:space="preserve">Pixel-streamed desktops </w:t>
      </w:r>
      <w:r>
        <w:t xml:space="preserve">(noVNC / Apache Guacamole — much of HTB Pwnbox and the THM AttackBox) render the whole GUI as canvas pixels; there is no text in the DOM. For those, the in-VM daemon is the fallback because the student always has shell access inside the box.</w:t>
      </w:r>
    </w:p>
    <w:p>
      <w:pPr>
        <w:spacing w:after="160" w:line="276"/>
      </w:pPr>
      <w:r>
        <w:rPr>
          <w:b/>
          <w:bCs/>
        </w:rPr>
        <w:t xml:space="preserve">Why two worlds are required. </w:t>
      </w:r>
      <w:r>
        <w:t xml:space="preserve">A content script in the ISOLATED world cannot see the page’s WebSocket or xterm objects, so a second content script runs in the MAIN world to do the tapping; the ISOLATED relay is the only context allowed to call nativeMessaging.</w:t>
      </w:r>
    </w:p>
    <w:p>
      <w:pPr>
        <w:pStyle w:val="Heading3"/>
      </w:pPr>
      <w:r>
        <w:t xml:space="preserve">Manifest V3 boilerplate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"manifest_version": 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"name": "Watcher Terminal Listener",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"version": "0.1.0",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"description": "Captures in-browser terminal telemetry for local, private analysis.",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"minimum_chrome_version": "111",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"permissions": ["nativeMessaging", "storage", "scripting"],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"host_permissions": ["https://*.hackthebox.com/*", "https://*.tryhackme.com/*"],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"background": { "service_worker": "background.js"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"content_scripts":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"matches": ["https://*.hackthebox.com/*", "https://*.tryhackme.com/*"],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"js": ["inject.js"], "run_at": "document_start", "world": "MAIN"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"matches": ["https://*.hackthebox.com/*", "https://*.tryhackme.com/*"],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"js": ["relay.js"],  "run_at": "document_start", "world": "ISOLATED"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</w:pPr>
      <w:r>
        <w:t xml:space="preserve">Interception (MAIN world): WebSocket tap + DOM fallback</w:t>
      </w:r>
    </w:p>
    <w:p>
      <w:pPr>
        <w:spacing w:after="160" w:line="276"/>
      </w:pPr>
      <w:r>
        <w:t xml:space="preserve">The WebSocket tap is primary because it captures the raw PTY stream below the renderer, regardless of canvas vs DOM. A MutationObserver on .xterm-rows is the DOM fallback for platforms that render text into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inject.js (MAIN world, document_start)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emit = (kind, data)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window.postMessage({ __watcher: true, kind, data, t: Date.now() }, "*");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Native = window.WebSocket;                 // PRIMARY: tap PTY stream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window.WebSocket = function (...a)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ws = new Native(...a);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ws.addEventListener("message", e =&gt; emit("stdout", e.data));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send = ws.send.bind(ws);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ws.send = d =&gt; { emit("stdin", d); return send(d);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ws;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new MutationObserver(muts =&gt; {                   // FALLBACK: DOM rows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(const m of muts)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if (m.target.classList?.contains("xterm-rows"))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emit("stdout_dom", m.target.innerText);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}).observe(document.body, { subtree: true, childList: true, characterData: true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})();</w:t>
            </w:r>
          </w:p>
        </w:tc>
      </w:tr>
    </w:tbl>
    <w:p>
      <w:pPr>
        <w:spacing w:after="160" w:line="276"/>
      </w:pPr>
      <w:r>
        <w:rPr>
          <w:b/>
          <w:bCs/>
        </w:rPr>
        <w:t xml:space="preserve">Key asymmetry vs the daemon: </w:t>
      </w:r>
      <w:r>
        <w:t xml:space="preserve">there is no termios in the browser, so password masking relies on regex/entropy redaction run client-side in the extension before anything leaves the page; the daemon re-redacts on receipt. Command boundaries are inferred from the stream (or read from OSC 133 shell-integration markers when present), so they carry lower confidence than the daemon’s exact boundaries.</w:t>
      </w:r>
    </w:p>
    <w:p>
      <w:pPr>
        <w:pStyle w:val="Heading2"/>
      </w:pPr>
      <w:r>
        <w:t xml:space="preserve">3.3 Unified telemetry normalization</w:t>
      </w:r>
    </w:p>
    <w:p>
      <w:pPr>
        <w:spacing w:after="160" w:line="276"/>
      </w:pPr>
      <w:r>
        <w:t xml:space="preserve">Both agents emit the same canonical envelope to the daemon (the single SQLCipher owner) over Native Messaging, so Modules 2–4 never need to know where an event came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"source": "browser_ext",            // | "local_pty" | "in_vm_daemon"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"session_uuid": "...", "seq": 47, "ts_utc_us": 1718630400123456,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"kind": "command | output | stdin_masked",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"payload": { "cmd": "...", "exit_code": 0, "stream": "stdout", "text": "...redacted..."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"provenance": { "boundary_confidence": 0.72, "redaction_method": "regex",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"context_path": "cloud:htb:pwnbox", "platform": "ttyd" } }</w:t>
            </w:r>
          </w:p>
        </w:tc>
      </w:tr>
    </w:tbl>
    <w:p>
      <w:pPr>
        <w:spacing w:after="160" w:line="276"/>
      </w:pPr>
      <w:r>
        <w:t xml:space="preserve">On receipt the ingestion layer normalizes the clock (each agent emits UTC micros; the daemon tracks per-source skew because browser and guest-VM clocks drift), attaches provenance so analytics can weight by fidelity, and re-runs redaction (never trust an agent’s own scrubbing). The schema additions over the base store are minimal: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sessions      ADD COLUMN source              TEXT;   -- which agent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sessions      ADD COLUMN origin_meta         TEXT;   -- JSON: url/lab/host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commands      ADD COLUMN context_path        TEXT;   -- host-&gt;vm-&gt;docker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commands      ADD COLUMN boundary_confidence REAL;   -- 1.0 hooks, ~0.7 inferred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output_blocks ADD COLUMN fidelity            TEXT;   -- raw | clean-only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redactions    ADD COLUMN redaction_method    TEXT;   -- termios | regex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 2 — AI Contextualization Logic</w:t>
      </w:r>
    </w:p>
    <w:p>
      <w:pPr>
        <w:spacing w:after="160" w:line="276"/>
      </w:pPr>
      <w:r>
        <w:t xml:space="preserve">Governing principle: do everything possible deterministically and let the local quantized model touch only semantic judgment — classification, equivalence, and narration. The LLM never sees raw bytes; it sees compact cards. This keeps a 3-hour session inside an 8B context window and degrades gracefully on weak hardware.</w:t>
      </w:r>
    </w:p>
    <w:p>
      <w:pPr>
        <w:pStyle w:val="Heading2"/>
      </w:pPr>
      <w:r>
        <w:t xml:space="preserve">4.1 Sliding-window chunking: machine-time vs think-time</w:t>
      </w:r>
    </w:p>
    <w:p>
      <w:pPr>
        <w:spacing w:after="160" w:line="276"/>
      </w:pPr>
      <w:r>
        <w:t xml:space="preserve">The data already encodes the distinction the AI needs: duration_ms is the machine working, the inter-command gap is the human thinking. Each command becomes a card with an actor mode tagged from metadata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 mode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Deterministic signal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machine_bound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duration + scanning binary + high line count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grinding; human waiting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human_active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duration, small gap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iteration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think_pause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gap, nothing running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 or stuck (Time-Waster signal)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Gap &gt; ~10 min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Walked away; excluded from analytics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t xml:space="preserve">Commands are segmented into episodes before any LLM call: a machine_bound command is its own atomic episode (a 5-minute gobuster scan collapses to one ~30-token card, never chunked into its output); break on a target shift or a long think_pause. The sliding window then runs over episodes, never bytes — N episodes that fit the model’s budget, overlapping by one episode so a phase transition on a boundary is visible in both windows, carrying a rolling state summary forward for cross-window memory (map-reduce). A 400-command session compresses to roughly 40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"seq": 47, "cmd": "gobuster dir -u http://10.10.10.5 -w big.txt",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"binary": "gobuster", "duration_ms": 312000, "gap_before_ms": 43000,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"exit_code": 0, "actor": "machine_bound",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"output_digest": "12,403 reqs - 7x200 - top: /admin, /backup",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"mitre_prior": ["T1595.003"] }</w:t>
            </w:r>
          </w:p>
        </w:tc>
      </w:tr>
    </w:tbl>
    <w:p>
      <w:pPr>
        <w:pStyle w:val="Heading2"/>
      </w:pPr>
      <w:r>
        <w:t xml:space="preserve">4.2 Phase clustering to MITRE ATT&amp;CK</w:t>
      </w:r>
    </w:p>
    <w:p>
      <w:pPr>
        <w:spacing w:after="160" w:line="276"/>
      </w:pPr>
      <w:r>
        <w:t xml:space="preserve">Two passes. A deterministic lookup table provides a strong prior (correct ~80% of the time on its own), then the LLM refines it with output constrained by a GBNF grammar so a quantized model cannot drift out of JSON. Phases are not a clean partition — real engagements loop, so model a state machine that permits regression and allow primary + secondary tactics per episode.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Tactic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nmap, rustscan, masscan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TA0007 Discovery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T1046 Network Service Discovery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gobuster, ffuf, nikto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TA0007 Discovery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T1595.003 Wordlist Scanning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sqlmap, hydra, exploit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TA0001 / TA0002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T1190 Exploit Public-Facing App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nc -lvnp, reverse shell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TA0002 Execution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T1059 Command &amp; Scripting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linpeas, sudo -l, getcap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TA0004 Priv Esc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T1068 / T1548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root   ::= "[" item ("," item)* "]"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   ::= "{\"seq\":" num ",\"tactic\":\"" tactic "\",\"confidence\":" num "}"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tactic ::= "TA0007" | "TA0001" | "TA0002" | "TA0004" | "TA0008"</w:t>
            </w:r>
          </w:p>
        </w:tc>
      </w:tr>
    </w:tbl>
    <w:p>
      <w:pPr>
        <w:spacing w:after="160" w:line="276"/>
      </w:pPr>
      <w:r>
        <w:t xml:space="preserve">Temperature 0.1–0.2, with 2–3 few-shot exemplars of override cases (e.g. python -m http.server during privesc is file staging, not Execution). Per-window labels are reduced into one session phase-map by confidence-weighted vote on the overlap episodes. Enrichment runs in parallel on the same stream: service banners → CPE → local NVD mirror → CVE / exploit hints, all offline.</w:t>
      </w:r>
    </w:p>
    <w:p>
      <w:pPr>
        <w:pStyle w:val="Heading2"/>
      </w:pPr>
      <w:r>
        <w:t xml:space="preserve">4.3 Path comparison against a seeded write-up</w:t>
      </w:r>
    </w:p>
    <w:p>
      <w:pPr>
        <w:spacing w:after="160" w:line="276"/>
      </w:pPr>
      <w:r>
        <w:t xml:space="preserve">The write-up is a solution, not the solution — a student who reaches the same objective with a different tool did nothing wrong. So comparison happens at the intent layer, not on raw commands. Parse the write-up once, offline, into a DAG of tool-agnostic objectives (a DAG, not a list, because some steps are order-independent and only true prerequisites are ordered).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"objective": "enumerate_smb_shares", "target": "10.10.10.5:445",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"tactic": "TA0007",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"satisfied_by": ["enum4linux", "smbclient -L", "nmap --script smb-enum*"] }</w:t>
            </w:r>
          </w:p>
        </w:tc>
      </w:tr>
    </w:tbl>
    <w:p>
      <w:pPr>
        <w:spacing w:after="160" w:line="276"/>
      </w:pPr>
      <w:r>
        <w:t xml:space="preserve">Then run a semantic sequence alignment (Needleman-Wunsch style) of the user’s intents against the golden DAG, where “match” is judged by the LLM as objective-equivalence. The LLM’s only role is that equivalence judgment; the alignment and time accounting are deterministic, so a re-run yields the same verdict — essential for grading defensibility.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 framing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Hit the golden objective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On-path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method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objective, different tool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Credit, not penalty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Detour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Off-path, low yield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Time-Waster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Skipped shortcut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Golden step never done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“You missed sudo -l”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Out-of-order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 step, breaks a DAG prerequisite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Flagged only if it breaks a dependency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Module 3 — Virtualization, Containers &amp; Open-Source Compatibility</w:t>
      </w:r>
    </w:p>
    <w:p>
      <w:pPr>
        <w:pStyle w:val="Heading2"/>
      </w:pPr>
      <w:r>
        <w:t xml:space="preserve">5.1 Offline LLM orchestration with hardware scaling</w:t>
      </w:r>
    </w:p>
    <w:p>
      <w:pPr>
        <w:spacing w:after="160" w:line="276"/>
      </w:pPr>
      <w:r>
        <w:t xml:space="preserve">Enterprise compliance dictates absolute privacy: nothing leaves the machine to third-party cloud APIs. The engine runs entirely offline on local quantized models managed as a Tauri sidecar (Ollama / llama.cpp). At first run it probes RAM, VRAM, cores and architecture, picks the largest model that fits, and degrades gracefully — all the way down to a rules-only mode, which is possible only because Module 2 made the LLM optional for most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 profile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+ quant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dGPU / Apple Silicon, 24GB+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Llama-3.1-8B Q6_K, long ctx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pipeline, GPU layer offload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16GB, iGPU / modest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Llama-3.1-8B Q4_K_M (~5GB)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target — the sweet spot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8GB, no GPU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Llama-3.2-3B Q4 / Phi-3-mini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Smaller windows, heavier summarization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Truly constrained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generative LLM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Rules-only + MiniLM embeddings for equivalence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t xml:space="preserve">Scaling knobs follow from the tier: num_gpu layers (offload as VRAM allows) and num_ctx (smaller models get smaller windows, so the summarizer compresses more). Because reports are generated after a session rather than in real time, LLM passes run as a background batch job — latency is invisible, so even a 3B model on a slow CPU is acceptable. Enterprise can pin an exact model for reproducibility.</w:t>
      </w:r>
    </w:p>
    <w:p>
      <w:pPr>
        <w:pStyle w:val="Heading2"/>
      </w:pPr>
      <w:r>
        <w:t xml:space="preserve">5.2 VM cross-boundary telemetry</w:t>
      </w:r>
    </w:p>
    <w:p>
      <w:pPr>
        <w:spacing w:after="160" w:line="276"/>
      </w:pPr>
      <w:r>
        <w:t xml:space="preserve">A VM is a real isolation boundary, so the design is a decision matrix keyed on how the user reaches the guest. The common case needs no guest install at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900"/>
        <w:gridCol w:w="17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the user works in the VM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captures it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Guest install?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from a watched host terminal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 daemon PTY shim (SSH PTY is on host)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free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 console / direct VM window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 guest daemon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(in-guest)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 console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Hypervisor serial → host pipe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None, rarely used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t xml:space="preserve">When a guest daemon is required, telemetry crosses back via virtio-vsock (preferred — no network config), a host-only network socket, or a shared folder. Avoid VM introspection (LibVMI / memory scanning): it reads guest RAM from outside, exactly the EDR-tripping behavior Module 1 avoids. Normalize clocks to UTC micros and encrypt envelopes in transit.</w:t>
      </w:r>
    </w:p>
    <w:p>
      <w:pPr>
        <w:pStyle w:val="Heading2"/>
      </w:pPr>
      <w:r>
        <w:t xml:space="preserve">5.3 Docker without an agent in every image</w:t>
      </w:r>
    </w:p>
    <w:p>
      <w:pPr>
        <w:spacing w:after="160" w:line="276"/>
      </w:pPr>
      <w:r>
        <w:t xml:space="preserve">Containers share the host kernel, so the host can observe container I/O without anything inside the image. The 90% case is to shim the docker launcher: docker exec -it and docker run -it place their PTY on the host terminal, so the host daemon already captures the whole session. Tag it with the container id / image digest from the Docker events 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exec/run -it from host shell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PTY shim (host) — free, full fidelity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Lifecycle / identity tagging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Engine API events stream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Detached / programmatic stdout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API attach or json-file log driver (PID 1 only)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Observe an existing in-container shell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nsenter into namespaces (last resort)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t xml:space="preserve">Capture the image digest in the context stack so sessions become reproducible — a reproducibility win unique to containers. Resist capturing every container’s background stdout; the interactive-shim path is where the pedagogical signal lives.</w:t>
      </w:r>
    </w:p>
    <w:p>
      <w:pPr>
        <w:pStyle w:val="Heading2"/>
      </w:pPr>
      <w:r>
        <w:t xml:space="preserve">5.4 Open-source plugin API / wrapper specification</w:t>
      </w:r>
    </w:p>
    <w:p>
      <w:pPr>
        <w:spacing w:after="160" w:line="276"/>
      </w:pPr>
      <w:r>
        <w:t xml:space="preserve">You cannot personally write wrappers for every niche environment (AWS CloudShell, Azure Cloud Shell, kubectl exec, Podman, LXC, custom distros). So you publish the envelope contract and let a wrapper be “any process that emits valid TelemetryEvents to a local socket” — a stable unix domain socket speaking newline-delimited JSON. A wrapper in any language is a valid plugin.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Plugin class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 telemetry from a new environment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CloudShell tap, kubectl exec shim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resolver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environment identity into context stack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“this prompt = pod web-7f in ns prod”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redaction or enrichment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Distro-specific secret patterns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t xml:space="preserve">Robustness comes from four things: a capability handshake (the plugin declares has_exit_codes, has_stdin, boundary_confidence, redaction, so the core knows the fidelity it is ingesting); mandatory re-scan on receipt (never trust plugin redaction — the privacy guarantee lives in the core); a versioned JSON-Schema envelope plus a conformance test kit so contributors self-validate before a PR; and a plugin manifest with a supervised, least-privilege, token-gated process lifecycle. Thin SDKs in Go, Rust, and Python make a typical wrapper about 50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"plugin": "aws-cloudshell", "schema_version": 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"capabilities":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"has_exit_codes": false, "has_stdin":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"boundary_confidence": "inferred", "redaction": "none"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"context_template": "cloud:aws:cloudshell:{region}"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Module 4 — Frontend Features &amp; the Enterprise Bridge</w:t>
      </w:r>
    </w:p>
    <w:p>
      <w:pPr>
        <w:spacing w:after="160" w:line="276"/>
      </w:pPr>
      <w:r>
        <w:t xml:space="preserve">The frontend is a Tauri app rendering interactive markdown via Tailwind CSS + React. The report is not a log, it is a mirror: it shows the operator where they flow, where they panic, and where they waste time.</w:t>
      </w:r>
    </w:p>
    <w:p>
      <w:pPr>
        <w:pStyle w:val="Heading2"/>
      </w:pPr>
      <w:r>
        <w:t xml:space="preserve">6.1 The signature metrics</w:t>
      </w:r>
    </w:p>
    <w:p>
      <w:pPr>
        <w:pStyle w:val="Heading3"/>
      </w:pPr>
      <w:r>
        <w:t xml:space="preserve">Time-Waster Metric</w:t>
      </w:r>
    </w:p>
    <w:p>
      <w:pPr>
        <w:spacing w:after="160" w:line="276"/>
      </w:pPr>
      <w:r>
        <w:t xml:space="preserve">Every non-idle second falls into one of four buckets: Productive, Detour (D), Stuck-excess (S, think-pause time above the user’s P75 baseline), and Loop (L, redundant near-duplicate retries). Wasted = D + S + L, and Efficiency = (1 − Wasted / T_active) × 100. The high-value output is the breakdown by kill-chain phase: “recon 91% efficient, privesc 40% — 23 minutes lost before trying sudo -l.” Valid alternatives never count as waste.</w:t>
      </w:r>
    </w:p>
    <w:p>
      <w:pPr>
        <w:pStyle w:val="Heading3"/>
      </w:pPr>
      <w:r>
        <w:t xml:space="preserve">Stealth vs. Noise Score</w:t>
      </w:r>
    </w:p>
    <w:p>
      <w:pPr>
        <w:spacing w:after="160" w:line="276"/>
      </w:pPr>
      <w:r>
        <w:t xml:space="preserve">Each command gets a noise weight w (1 = nmap -T0 / manual, 10 = hydra brute force) scaled by volume: n(c) = w × (1 + log10(volume)). Summed and normalized to a per-lab baseline gives Stealth = 100 − normalized noise, with the loudest moments pinned on the timeline. It is an honest relative heuristic, not a calibrated detection probability.</w:t>
      </w:r>
    </w:p>
    <w:p>
      <w:pPr>
        <w:pStyle w:val="Heading3"/>
      </w:pPr>
      <w:r>
        <w:t xml:space="preserve">Independence Score (enterprise)</w:t>
      </w:r>
    </w:p>
    <w:p>
      <w:pPr>
        <w:spacing w:after="160" w:line="276"/>
      </w:pPr>
      <w:r>
        <w:t xml:space="preserve">The inverse of the plagiarism / agent signals (think-pause presence, typo entropy, paste-burst ratio, cohort-path uniqueness). It is the bridge between analytics and academic integrity, and it gates the grading rubric. For B2B, raw scores are also difficulty-normalized against the box’s known optimal path and converted to cohort percentiles.</w:t>
      </w:r>
    </w:p>
    <w:p>
      <w:pPr>
        <w:pStyle w:val="Heading2"/>
      </w:pPr>
      <w:r>
        <w:t xml:space="preserve">6.2 Interactive report layout</w:t>
      </w:r>
    </w:p>
    <w:p>
      <w:pPr>
        <w:spacing w:after="160" w:line="276"/>
      </w:pPr>
      <w:r>
        <w:t xml:space="preserve">One shared time axis governs every chart (timeline, replay, stealth pins, waste hotspots) and color encodes actor-mode consistently everywhere (tool, manual, stuck, detour), so once the user learns the vocabulary in the hero, every subsequent chart reads instantly.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 anchor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Engagement mechanic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Verdict header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 score dials + result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diagnosis before scrolling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timeline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 swimlane, actor-colored blocks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Hover-linked highlighting to the command log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comparison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Dual-track diff: your route vs optimal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Git-diff metaphor for hacking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deep-dives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Collapsible cards per tactic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Progressive disclosure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Stealth report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Loud-moment pins on the timeline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“You’d have tripped Suricata here”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replay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asciinema-style scrubber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Playhead synced to the timeline (DVR)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 panel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radar + next steps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Closes the pedagogical loop</w:t>
            </w:r>
          </w:p>
        </w:tc>
      </w:tr>
    </w:tbl>
    <w:p>
      <w:pPr>
        <w:pStyle w:val="Heading2"/>
      </w:pPr>
      <w:r>
        <w:t xml:space="preserve">6.3 Portable, self-contained HTML export</w:t>
      </w:r>
    </w:p>
    <w:p>
      <w:pPr>
        <w:spacing w:after="160" w:line="276"/>
      </w:pPr>
      <w:r>
        <w:t xml:space="preserve">For portfolio hosting the report must open with file:// and zero dependencies, so the export inlines everything — CSS, JS, fonts, and a schema-versioned JSON data blob. Pre-render static markup so it is readable with JS disabled, then hydrate for interactivity. The embedded JSON makes the file both a human artifact and a machine-reparseable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report.html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|- &lt;style&gt; ...all Tailwind-compiled CSS inlined... &lt;/style&gt;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|- &lt;div id="root"&gt; ...pre-rendered static report (readable JS-off)...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|- &lt;script type="application/json" id="watcher-data"&gt;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|     { "schema_version": "1.0", "session": { ...redacted telemetry...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|  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|- &lt;script&gt; ...inlined React bundle: hydrates #root from the JSON... &lt;/script&gt;</w:t>
            </w:r>
          </w:p>
        </w:tc>
      </w:tr>
    </w:tbl>
    <w:p>
      <w:pPr>
        <w:spacing w:after="160" w:line="276"/>
      </w:pPr>
      <w:r>
        <w:t xml:space="preserve">Two safeguards: export defaults to a public-safe redaction profile (strip active IPs, hostnames, flags, anything credential-adjacent), and a “lite vs full” toggle controls whether the bulky asciinema replay cast is inlined. Free-tier exports carry the watermark. This self-contained, schema-versioned file is also the unit the Enterprise Bridge signs.</w:t>
      </w:r>
    </w:p>
    <w:p>
      <w:pPr>
        <w:pStyle w:val="Heading2"/>
      </w:pPr>
      <w:r>
        <w:t xml:space="preserve">6.4 The Enterprise Bridge</w:t>
      </w:r>
    </w:p>
    <w:p>
      <w:pPr>
        <w:spacing w:after="160" w:line="276"/>
      </w:pPr>
      <w:r>
        <w:rPr>
          <w:b/>
          <w:bCs/>
        </w:rPr>
        <w:t xml:space="preserve">The core tension: </w:t>
      </w:r>
      <w:r>
        <w:t xml:space="preserve">the student product promises data never leaves the machine, yet a manager must see student data. The resolution is that the institution never receives raw telemetry — only a cryptographically signed, redacted attestation. Local-first for the student, verifiable-summary for the institution.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buys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Tamper-evidence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Hash-chained log + per-device signature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Auditable, defensible grades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Minimization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Manager-profile redaction: scores + evidence digests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Need-to-know, not a surveillance feed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previews the exact bundle before sync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Survives FERPA / GDPR scrutiny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No new network risk. </w:t>
      </w:r>
      <w:r>
        <w:t xml:space="preserve">Because processing is fully local and only signed, redacted bundles cross the boundary (opt-in, over standard TLS to the tenant), the Bridge introduces no inbound agent and no raw-data egress — the property enterprise security teams care about most.</w:t>
      </w:r>
    </w:p>
    <w:p>
      <w:pPr>
        <w:spacing w:after="160" w:line="276"/>
      </w:pPr>
      <w:r>
        <w:t xml:space="preserve">Grading maps the metrics to an explicit weighted rubric so a grade is explainable: objective coverage (35%), technique breadth (20%), efficiency (15%), operational discipline (15%), and independence (15%) — where independence acts as a gate, routing a high-skill / low-independence result to an integrity queue with an evidence bundle rather than averaging it away. Governance adds multi-tenant isolation, SAML/SSO + SCIM, RBAC, configurable retention, an audit log, and LTI integration (Canvas, Blackboard, Moodle). An integrity flag is a signal, not a verdict: it always routes to a human, and students see their own signals.</w:t>
      </w:r>
    </w:p>
    <w:p>
      <w:r>
        <w:br w:type="page"/>
      </w:r>
    </w:p>
    <w:p>
      <w:pPr>
        <w:pStyle w:val="Heading1"/>
      </w:pPr>
      <w:r>
        <w:t xml:space="preserve">7. Module 5 — Go-To-Market &amp; Business Strategy</w:t>
      </w:r>
    </w:p>
    <w:p>
      <w:pPr>
        <w:spacing w:after="160" w:line="276"/>
      </w:pPr>
      <w:r>
        <w:t xml:space="preserve">The audience has a finely-tuned bullshit detector and lives on Discord and GitHub. The GTM motion is therefore the inverse of normal SaaS: the product is the marketing, the free tier is the sales team, and the open-source capture core is the trust contract. Open-source the daemon, schema, and plugin API; monetize the intelligence and convenience layered on top.</w:t>
      </w:r>
    </w:p>
    <w:p>
      <w:pPr>
        <w:pStyle w:val="Heading2"/>
      </w:pPr>
      <w:r>
        <w:t xml:space="preserve">7.1 Freemium split</w:t>
      </w:r>
    </w:p>
    <w:p>
      <w:pPr>
        <w:spacing w:after="160" w:line="276"/>
      </w:pPr>
      <w:r>
        <w:t xml:space="preserve">Free = the tool works completely, on your machine, with your compute. Paid = managed convenience, curated content, and longitudinal intelligence. Never paywall capture, privacy, or the basic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Included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forever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local capture, BYO-Ollama, basic report, watermarked share, 30-day history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Viral adoption at ~$0 cost (their compute)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 LLM, write-up library, unlimited history, skill progression, live CVE, DVR, no watermark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item has real ongoing cost — fair paywall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t xml:space="preserve">Protect the watermarked shareable report: a CTF player flexing their timeline on Discord is the top of your funnel, so the watermark is your customer-acquisition cost. Never cripple the free tier with fake limits — this crowd will fork the open-source core out of spite.</w:t>
      </w:r>
    </w:p>
    <w:p>
      <w:pPr>
        <w:pStyle w:val="Heading2"/>
      </w:pPr>
      <w:r>
        <w:t xml:space="preserve">7.2 B2C pricing model</w:t>
      </w:r>
    </w:p>
    <w:p>
      <w:pPr>
        <w:spacing w:after="160" w:line="276"/>
      </w:pPr>
      <w:r>
        <w:t xml:space="preserve">“Hate monthly fees” decodes to two objections, each met with a specific lever.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Lever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Recurring feels like a leak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One-time lifetime license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$179 lifetime alongside annual; front-loads cash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Cloud-mandatory feels like a trap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BYO-compute is the cheap default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tier free/cheapest; managed costs more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Students are broke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.edu / GitHub Student Pack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tier free or $29/yr</w:t>
            </w:r>
          </w:p>
        </w:tc>
      </w:tr>
    </w:tbl>
    <w:p>
      <w:pPr>
        <w:pStyle w:val="Heading2"/>
      </w:pPr>
      <w:r>
        <w:t xml:space="preserve">7.3 Enterprise pricing</w:t>
      </w:r>
    </w:p>
    <w:p>
      <w:pPr>
        <w:spacing w:after="160" w:line="276"/>
      </w:pPr>
      <w:r>
        <w:t xml:space="preserve">Land-and-expand: free individual adoption seeds bottoms-up usage, students carry it into their bootcamp or university, and the Enterprise Bridge converts that into a top-down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Fits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Anchor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Per-seat annual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Corporate bootcamps, SOC teams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~$60–120 / learner / yr (vs SANS ~$8k/course)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 site license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Universities / departments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$5k–25k / yr by size; unlimited students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Per-cohort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Bootcamps with discrete intakes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Priced per cohort / term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t xml:space="preserve">The premium is justified by features the individual tiers structurally cannot have: SSO/SAML + SCIM, centralized hash-chained compliance log management with configurable retention, the cohort analytics and integrity dashboard, LTI/LMS integration, the anti-plagiarism evidence queue, RBAC, an SLA, and — the decisive one for security-conscious and government buyers — a self-hosted / on-prem deployment option, which alone often justifies the entire enterprise premium.</w:t>
      </w:r>
    </w:p>
    <w:p>
      <w:r>
        <w:br w:type="page"/>
      </w:r>
    </w:p>
    <w:p>
      <w:pPr>
        <w:pStyle w:val="Heading1"/>
      </w:pPr>
      <w:r>
        <w:t xml:space="preserve">8. Appendix — Unified Encrypted SQLite Schema</w:t>
      </w:r>
    </w:p>
    <w:p>
      <w:pPr>
        <w:spacing w:after="160" w:line="276"/>
      </w:pPr>
      <w:r>
        <w:t xml:space="preserve">SQLCipher provides transparent AES-256 page encryption (the whole file is opaque at rest, including indexes and WAL). The DB key is never stored on disk — it is derived with Argon2id from a random key held in the OS keychain (macOS Keychain / Linux Secret Service), so the file alone is worthless if exfiltrated.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PRAGMA cipher_compatibility = 4;   -- AES-256-CBC, HMAC-SHA512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PRAGMA journal_mode = WAL;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sessions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INTEGER PRIMARY KEY, uuid TEXT UNIQUE, started_at INTEGER, ended_at 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shell TEXT, hostname TEXT, initial_cwd TEXT, target_scope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source TEXT, origin_meta TEXT, schema_ver INTEGER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commands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INTEGER PRIMARY KEY, session_id INTEGER REFERENCES sessions(id),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seq INTEGER, raw_command TEXT, cwd TEXT, context_path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started_at INTEGER, ended_at INTEGER, duration_ms INTEGER, exit_code 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was_echo_off INTEGER DEFAULT 0, binary TEXT, boundary_confidence REAL,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phase_id INTEGER REFERENCES phases(id), UNIQUE(session_id, seq)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output_blocks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INTEGER PRIMARY KEY, command_id INTEGER REFERENCES commands(id),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stream INTEGER, started_at INTEGER, content BLOB, raw_replay BLOB,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line_count INTEGER, byte_count INTEGER, was_summarized INTEGER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summary TEXT, fidelity TEXT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artifacts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INTEGER PRIMARY KEY, command_id INTEGER REFERENCES commands(id),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kind TEXT, value TEXT, confidence REAL, created_at INTEGER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redactions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INTEGER PRIMARY KEY, command_id INTEGER REFERENCES commands(id),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location TEXT, rule TEXT, redaction_method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span_start INTEGER, span_len INTEGER, redacted_at INTEGER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phases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INTEGER PRIMARY KEY, session_id INTEGER REFERENCES sessions(id),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mitre_tactic TEXT, label TEXT, started_at INTEGER, ended_at INTEGER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idx_cmd_session ON commands(session_id, seq);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idx_cmd_binary  ON commands(binary);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idx_out_cmd     ON output_blocks(command_id);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idx_art_kind    ON artifacts(kind, value);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End of brief. </w:t>
      </w:r>
      <w:r>
        <w:t xml:space="preserve">The Watcher — capture safely, process privately, coach honestly.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The Watcher · Confidential Design Brief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Watcher — Product &amp; Technical Design Brief</dc:title>
  <dc:creator>The Watcher</dc:creator>
  <cp:lastModifiedBy>Un-named</cp:lastModifiedBy>
  <cp:revision>1</cp:revision>
  <dcterms:created xsi:type="dcterms:W3CDTF">2026-06-18T00:40:38.789Z</dcterms:created>
  <dcterms:modified xsi:type="dcterms:W3CDTF">2026-06-18T00:40:38.789Z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