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40BE55F5" w14:textId="77777777" w:rsidR="007D72C2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Briefly restate your model’s findings from Task 2. Focus on high-risk segments, key predictors of delinquency (e.g., missed payments, credit utilization), and any meaningful patterns the Collections team should be aware of.</w:t>
      </w:r>
      <w:r w:rsidRPr="00A537D1">
        <w:rPr>
          <w:rFonts w:ascii="Arial" w:hAnsi="Arial" w:cs="Arial"/>
          <w:color w:val="000000" w:themeColor="text1"/>
        </w:rPr>
        <w:br/>
      </w:r>
      <w:r w:rsidRPr="00A537D1">
        <w:rPr>
          <w:rFonts w:ascii="Arial" w:hAnsi="Arial" w:cs="Arial"/>
          <w:color w:val="000000" w:themeColor="text1"/>
        </w:rPr>
        <w:br/>
        <w:t>Tip: Use 2–3 bullet points or short paragraphs. Refer to the dataset and insights you uncovered.</w:t>
      </w:r>
    </w:p>
    <w:p w14:paraId="306D85AE" w14:textId="4A0A3A2B" w:rsidR="007E052F" w:rsidRDefault="007E052F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ANSWER:</w:t>
      </w:r>
    </w:p>
    <w:p w14:paraId="7758B7E2" w14:textId="77777777" w:rsidR="007E052F" w:rsidRPr="007E052F" w:rsidRDefault="007E052F" w:rsidP="007E052F">
      <w:pPr>
        <w:rPr>
          <w:rFonts w:ascii="Arial" w:hAnsi="Arial" w:cs="Arial"/>
          <w:b/>
          <w:bCs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Top 3 Predictors of Delinquency</w:t>
      </w:r>
    </w:p>
    <w:p w14:paraId="219346B9" w14:textId="77777777" w:rsidR="007E052F" w:rsidRPr="007E052F" w:rsidRDefault="007E052F" w:rsidP="007E052F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High Credit Utilization Rate</w:t>
      </w:r>
      <w:r w:rsidRPr="007E052F">
        <w:rPr>
          <w:rFonts w:ascii="Arial" w:hAnsi="Arial" w:cs="Arial"/>
          <w:color w:val="000000" w:themeColor="text1"/>
          <w:lang w:val="en-ZA"/>
        </w:rPr>
        <w:br/>
        <w:t>Customers using a large proportion of their available credit consistently showed a higher risk of missing payments, indicating financial strain.</w:t>
      </w:r>
    </w:p>
    <w:p w14:paraId="2A0CF728" w14:textId="77777777" w:rsidR="007E052F" w:rsidRPr="007E052F" w:rsidRDefault="007E052F" w:rsidP="007E052F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History of Missed or Late Payments</w:t>
      </w:r>
      <w:r w:rsidRPr="007E052F">
        <w:rPr>
          <w:rFonts w:ascii="Arial" w:hAnsi="Arial" w:cs="Arial"/>
          <w:color w:val="000000" w:themeColor="text1"/>
          <w:lang w:val="en-ZA"/>
        </w:rPr>
        <w:br/>
        <w:t>Recency and frequency of missed payments were among the strongest risk indicators. Customers with deteriorating payment trends were significantly more likely to become delinquent.</w:t>
      </w:r>
    </w:p>
    <w:p w14:paraId="4E728C1A" w14:textId="77777777" w:rsidR="007E052F" w:rsidRPr="007E052F" w:rsidRDefault="007E052F" w:rsidP="007E052F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High Debt-to-Income Ratio (DTI)</w:t>
      </w:r>
      <w:r w:rsidRPr="007E052F">
        <w:rPr>
          <w:rFonts w:ascii="Arial" w:hAnsi="Arial" w:cs="Arial"/>
          <w:color w:val="000000" w:themeColor="text1"/>
          <w:lang w:val="en-ZA"/>
        </w:rPr>
        <w:br/>
        <w:t>Customers whose financial obligations exceed a healthy portion of their income show reduced repayment capacity and elevated delinquency likelihood.</w:t>
      </w:r>
    </w:p>
    <w:p w14:paraId="5BA5C9FC" w14:textId="77777777" w:rsidR="007E052F" w:rsidRPr="007E052F" w:rsidRDefault="007E052F" w:rsidP="007E052F">
      <w:pPr>
        <w:rPr>
          <w:rFonts w:ascii="Arial" w:hAnsi="Arial" w:cs="Arial"/>
          <w:b/>
          <w:bCs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High-Risk Customer Segments Identified</w:t>
      </w:r>
    </w:p>
    <w:p w14:paraId="02429FEB" w14:textId="77777777" w:rsidR="007E052F" w:rsidRPr="007E052F" w:rsidRDefault="007E052F" w:rsidP="007E052F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t xml:space="preserve">Customers with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3+ late payments in the last 6 months</w:t>
      </w:r>
    </w:p>
    <w:p w14:paraId="50FDA5E7" w14:textId="77777777" w:rsidR="007E052F" w:rsidRPr="007E052F" w:rsidRDefault="007E052F" w:rsidP="007E052F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t xml:space="preserve">Those with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credit utilization above 75%</w:t>
      </w:r>
    </w:p>
    <w:p w14:paraId="2DD27D37" w14:textId="77777777" w:rsidR="007E052F" w:rsidRPr="007E052F" w:rsidRDefault="007E052F" w:rsidP="007E052F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t xml:space="preserve">Customers showing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rising expenses with declining repayments</w:t>
      </w:r>
      <w:r w:rsidRPr="007E052F">
        <w:rPr>
          <w:rFonts w:ascii="Arial" w:hAnsi="Arial" w:cs="Arial"/>
          <w:color w:val="000000" w:themeColor="text1"/>
          <w:lang w:val="en-ZA"/>
        </w:rPr>
        <w:t xml:space="preserve"> (worsening trend)</w:t>
      </w:r>
    </w:p>
    <w:p w14:paraId="7F1A7FD8" w14:textId="77777777" w:rsidR="007E052F" w:rsidRPr="007E052F" w:rsidRDefault="007E052F" w:rsidP="007E052F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t xml:space="preserve">Younger customers or recent account holders with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limited credit history</w:t>
      </w:r>
    </w:p>
    <w:p w14:paraId="45AE8BEC" w14:textId="77777777" w:rsidR="007E052F" w:rsidRDefault="007E052F">
      <w:pPr>
        <w:rPr>
          <w:rFonts w:ascii="Arial" w:hAnsi="Arial" w:cs="Arial"/>
          <w:color w:val="000000" w:themeColor="text1"/>
        </w:rPr>
      </w:pPr>
    </w:p>
    <w:p w14:paraId="6DB6FD56" w14:textId="77777777" w:rsidR="007E052F" w:rsidRPr="00A537D1" w:rsidRDefault="007E052F">
      <w:pPr>
        <w:rPr>
          <w:rFonts w:ascii="Arial" w:hAnsi="Arial" w:cs="Arial"/>
          <w:color w:val="000000" w:themeColor="text1"/>
        </w:rPr>
      </w:pPr>
    </w:p>
    <w:p w14:paraId="60F471FE" w14:textId="77777777" w:rsidR="007D72C2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>Optional: Include a Key Insights Summary Table (you may create this in Excel or insert manually).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13"/>
        <w:gridCol w:w="1438"/>
        <w:gridCol w:w="3812"/>
        <w:gridCol w:w="2161"/>
      </w:tblGrid>
      <w:tr w:rsidR="00A537D1" w:rsidRPr="00A537D1" w14:paraId="36311A05" w14:textId="77777777" w:rsidTr="00A537D1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7E052F" w:rsidRPr="00A537D1" w14:paraId="4217145F" w14:textId="77777777" w:rsidTr="00EF40C9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FF5A1" w14:textId="071A0401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High utilization leads to missed payments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EE3BA" w14:textId="19CE3588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Heavy credit users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31FED" w14:textId="6D724B65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Credit utilization %, monthly spending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C9A44" w14:textId="663C03C3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Early outreach reduces defaults</w:t>
            </w:r>
          </w:p>
        </w:tc>
      </w:tr>
      <w:tr w:rsidR="007E052F" w:rsidRPr="00A537D1" w14:paraId="3CF8DB22" w14:textId="77777777" w:rsidTr="00EF40C9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4DAE4" w14:textId="27693B97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Payment history predicts future delinquency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E1B64" w14:textId="0B1FCAFA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Customers with late/missed payments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DBEDF" w14:textId="5A73DC75" w:rsidR="007E052F" w:rsidRPr="00A537D1" w:rsidRDefault="007E052F" w:rsidP="007E052F">
            <w:pPr>
              <w:tabs>
                <w:tab w:val="left" w:pos="2820"/>
              </w:tabs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Missed payments count, payment trend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027EF" w14:textId="29DD68F2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Prioritized intervention improves recovery</w:t>
            </w:r>
          </w:p>
        </w:tc>
      </w:tr>
      <w:tr w:rsidR="007E052F" w:rsidRPr="00A537D1" w14:paraId="2217AD03" w14:textId="77777777" w:rsidTr="00EF40C9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6D11F" w14:textId="2E0FC9BB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High DTI reduces repayment capacity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179BE" w14:textId="2EBADF28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Low-income / high-debt customers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81B95" w14:textId="520FBB4D" w:rsidR="007E052F" w:rsidRDefault="007E052F" w:rsidP="007E052F">
            <w:pPr>
              <w:tabs>
                <w:tab w:val="left" w:pos="2820"/>
              </w:tabs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Debt-to-income ratio, income, outstanding balance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6E764" w14:textId="40915489" w:rsidR="007E052F" w:rsidRPr="00A537D1" w:rsidRDefault="007E052F" w:rsidP="007E052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t>Tailored repayment plans reduce churn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2F84D53A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Based on one of your model’s insights, outline your recommended intervention. Your recommendation should follow a SMART approach (Specific, Measurable, Actionable, Relevant, Time-bound).</w:t>
      </w:r>
    </w:p>
    <w:p w14:paraId="15F4D6C8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Use the following subheadings to guide your structure:</w:t>
      </w:r>
    </w:p>
    <w:p w14:paraId="6CE07FC9" w14:textId="7777777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Restated Insight:</w:t>
      </w:r>
    </w:p>
    <w:p w14:paraId="7B9326A5" w14:textId="7777777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Proposed Recommendation:</w:t>
      </w:r>
    </w:p>
    <w:p w14:paraId="573E860B" w14:textId="0AE081C0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Specific:</w:t>
      </w:r>
    </w:p>
    <w:p w14:paraId="14A948D0" w14:textId="2A45793E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Measurable:</w:t>
      </w:r>
    </w:p>
    <w:p w14:paraId="3D5B0DDB" w14:textId="7BFA667D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Actionable:</w:t>
      </w:r>
    </w:p>
    <w:p w14:paraId="692F7089" w14:textId="7C1B8958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Relevant:</w:t>
      </w:r>
    </w:p>
    <w:p w14:paraId="5BFD19C6" w14:textId="549CBD98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Time-bound:</w:t>
      </w:r>
    </w:p>
    <w:p w14:paraId="17D2B140" w14:textId="77777777" w:rsidR="007D72C2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Justification and Business Rationale:</w:t>
      </w:r>
    </w:p>
    <w:p w14:paraId="1395A5AD" w14:textId="77777777" w:rsidR="007E052F" w:rsidRDefault="007E052F" w:rsidP="007E052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</w:p>
    <w:p w14:paraId="29BDF400" w14:textId="586778C2" w:rsidR="007E052F" w:rsidRDefault="007E052F" w:rsidP="007E052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ANSWER:</w:t>
      </w:r>
    </w:p>
    <w:p w14:paraId="1E74E849" w14:textId="77777777" w:rsidR="007E052F" w:rsidRPr="007E052F" w:rsidRDefault="007E052F" w:rsidP="007E052F">
      <w:pPr>
        <w:pStyle w:val="ListBullet"/>
        <w:rPr>
          <w:rFonts w:ascii="Arial" w:hAnsi="Arial" w:cs="Arial"/>
          <w:b/>
          <w:bCs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Restated Insight:</w:t>
      </w:r>
    </w:p>
    <w:p w14:paraId="0600027A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lastRenderedPageBreak/>
        <w:t xml:space="preserve">Customers with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high credit utilization (&gt;75%)</w:t>
      </w:r>
      <w:r w:rsidRPr="007E052F">
        <w:rPr>
          <w:rFonts w:ascii="Arial" w:hAnsi="Arial" w:cs="Arial"/>
          <w:color w:val="000000" w:themeColor="text1"/>
          <w:lang w:val="en-ZA"/>
        </w:rPr>
        <w:t xml:space="preserve"> show a significantly higher probability of becoming delinquent within the next billing cycle.</w:t>
      </w:r>
    </w:p>
    <w:p w14:paraId="439F2E4F" w14:textId="77777777" w:rsidR="0037348C" w:rsidRDefault="0037348C" w:rsidP="0037348C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lang w:val="en-ZA"/>
        </w:rPr>
      </w:pPr>
    </w:p>
    <w:p w14:paraId="496BC083" w14:textId="5FF48BAC" w:rsidR="007E052F" w:rsidRDefault="007E052F" w:rsidP="0037348C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u w:val="single"/>
          <w:lang w:val="en-ZA"/>
        </w:rPr>
      </w:pPr>
      <w:r w:rsidRPr="0037348C">
        <w:rPr>
          <w:rFonts w:ascii="Arial" w:hAnsi="Arial" w:cs="Arial"/>
          <w:b/>
          <w:bCs/>
          <w:color w:val="000000" w:themeColor="text1"/>
          <w:u w:val="single"/>
          <w:lang w:val="en-ZA"/>
        </w:rPr>
        <w:t>Proposed Recommendation (SMART Framework):</w:t>
      </w:r>
    </w:p>
    <w:p w14:paraId="0CD4262E" w14:textId="77777777" w:rsidR="0037348C" w:rsidRPr="0037348C" w:rsidRDefault="0037348C" w:rsidP="0037348C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u w:val="single"/>
          <w:lang w:val="en-ZA"/>
        </w:rPr>
      </w:pPr>
    </w:p>
    <w:p w14:paraId="45C5324A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Specific:</w:t>
      </w:r>
      <w:r w:rsidRPr="007E052F">
        <w:rPr>
          <w:rFonts w:ascii="Arial" w:hAnsi="Arial" w:cs="Arial"/>
          <w:color w:val="000000" w:themeColor="text1"/>
          <w:lang w:val="en-ZA"/>
        </w:rPr>
        <w:br/>
        <w:t xml:space="preserve">Identify all customers with credit utilization above 75% and proactively </w:t>
      </w:r>
      <w:proofErr w:type="spellStart"/>
      <w:r w:rsidRPr="007E052F">
        <w:rPr>
          <w:rFonts w:ascii="Arial" w:hAnsi="Arial" w:cs="Arial"/>
          <w:color w:val="000000" w:themeColor="text1"/>
          <w:lang w:val="en-ZA"/>
        </w:rPr>
        <w:t>enroll</w:t>
      </w:r>
      <w:proofErr w:type="spellEnd"/>
      <w:r w:rsidRPr="007E052F">
        <w:rPr>
          <w:rFonts w:ascii="Arial" w:hAnsi="Arial" w:cs="Arial"/>
          <w:color w:val="000000" w:themeColor="text1"/>
          <w:lang w:val="en-ZA"/>
        </w:rPr>
        <w:t xml:space="preserve"> them in a targeted repayment-readiness program.</w:t>
      </w:r>
    </w:p>
    <w:p w14:paraId="39270C69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Measurable:</w:t>
      </w:r>
      <w:r w:rsidRPr="007E052F">
        <w:rPr>
          <w:rFonts w:ascii="Arial" w:hAnsi="Arial" w:cs="Arial"/>
          <w:color w:val="000000" w:themeColor="text1"/>
          <w:lang w:val="en-ZA"/>
        </w:rPr>
        <w:br/>
        <w:t xml:space="preserve">Reduce delinquency within this segment by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10% over the next 90 days</w:t>
      </w:r>
      <w:r w:rsidRPr="007E052F">
        <w:rPr>
          <w:rFonts w:ascii="Arial" w:hAnsi="Arial" w:cs="Arial"/>
          <w:color w:val="000000" w:themeColor="text1"/>
          <w:lang w:val="en-ZA"/>
        </w:rPr>
        <w:t>, measured through improved on-time payment rates.</w:t>
      </w:r>
    </w:p>
    <w:p w14:paraId="2A13F595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Actionable:</w:t>
      </w:r>
      <w:r w:rsidRPr="007E052F">
        <w:rPr>
          <w:rFonts w:ascii="Arial" w:hAnsi="Arial" w:cs="Arial"/>
          <w:color w:val="000000" w:themeColor="text1"/>
          <w:lang w:val="en-ZA"/>
        </w:rPr>
        <w:br/>
        <w:t>Launch personalized SMS/email outreach offering repayment reminders, financial management tips, and optional credit-</w:t>
      </w:r>
      <w:proofErr w:type="spellStart"/>
      <w:r w:rsidRPr="007E052F">
        <w:rPr>
          <w:rFonts w:ascii="Arial" w:hAnsi="Arial" w:cs="Arial"/>
          <w:color w:val="000000" w:themeColor="text1"/>
          <w:lang w:val="en-ZA"/>
        </w:rPr>
        <w:t>counseling</w:t>
      </w:r>
      <w:proofErr w:type="spellEnd"/>
      <w:r w:rsidRPr="007E052F">
        <w:rPr>
          <w:rFonts w:ascii="Arial" w:hAnsi="Arial" w:cs="Arial"/>
          <w:color w:val="000000" w:themeColor="text1"/>
          <w:lang w:val="en-ZA"/>
        </w:rPr>
        <w:t xml:space="preserve"> support.</w:t>
      </w:r>
    </w:p>
    <w:p w14:paraId="5AC11C02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Relevant:</w:t>
      </w:r>
      <w:r w:rsidRPr="007E052F">
        <w:rPr>
          <w:rFonts w:ascii="Arial" w:hAnsi="Arial" w:cs="Arial"/>
          <w:color w:val="000000" w:themeColor="text1"/>
          <w:lang w:val="en-ZA"/>
        </w:rPr>
        <w:br/>
        <w:t xml:space="preserve">This recommendation directly addresses </w:t>
      </w:r>
      <w:proofErr w:type="spellStart"/>
      <w:r w:rsidRPr="007E052F">
        <w:rPr>
          <w:rFonts w:ascii="Arial" w:hAnsi="Arial" w:cs="Arial"/>
          <w:color w:val="000000" w:themeColor="text1"/>
          <w:lang w:val="en-ZA"/>
        </w:rPr>
        <w:t>Geldium’s</w:t>
      </w:r>
      <w:proofErr w:type="spellEnd"/>
      <w:r w:rsidRPr="007E052F">
        <w:rPr>
          <w:rFonts w:ascii="Arial" w:hAnsi="Arial" w:cs="Arial"/>
          <w:color w:val="000000" w:themeColor="text1"/>
          <w:lang w:val="en-ZA"/>
        </w:rPr>
        <w:t xml:space="preserve"> rising delinquency rates and supports the strategy of early intervention before accounts become 30+ days past due.</w:t>
      </w:r>
    </w:p>
    <w:p w14:paraId="3D5C727C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Time-bound:</w:t>
      </w:r>
      <w:r w:rsidRPr="007E052F">
        <w:rPr>
          <w:rFonts w:ascii="Arial" w:hAnsi="Arial" w:cs="Arial"/>
          <w:color w:val="000000" w:themeColor="text1"/>
          <w:lang w:val="en-ZA"/>
        </w:rPr>
        <w:br/>
        <w:t xml:space="preserve">Implement the outreach program within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30 days</w:t>
      </w:r>
      <w:r w:rsidRPr="007E052F">
        <w:rPr>
          <w:rFonts w:ascii="Arial" w:hAnsi="Arial" w:cs="Arial"/>
          <w:color w:val="000000" w:themeColor="text1"/>
          <w:lang w:val="en-ZA"/>
        </w:rPr>
        <w:t xml:space="preserve">, monitor results weekly, and review impact at the </w:t>
      </w:r>
      <w:r w:rsidRPr="007E052F">
        <w:rPr>
          <w:rFonts w:ascii="Arial" w:hAnsi="Arial" w:cs="Arial"/>
          <w:b/>
          <w:bCs/>
          <w:color w:val="000000" w:themeColor="text1"/>
          <w:lang w:val="en-ZA"/>
        </w:rPr>
        <w:t>end of the 90-day cycle</w:t>
      </w:r>
      <w:r w:rsidRPr="007E052F">
        <w:rPr>
          <w:rFonts w:ascii="Arial" w:hAnsi="Arial" w:cs="Arial"/>
          <w:color w:val="000000" w:themeColor="text1"/>
          <w:lang w:val="en-ZA"/>
        </w:rPr>
        <w:t>.</w:t>
      </w:r>
    </w:p>
    <w:p w14:paraId="1EA0DF42" w14:textId="77777777" w:rsidR="007E052F" w:rsidRPr="007E052F" w:rsidRDefault="007E052F" w:rsidP="007E052F">
      <w:pPr>
        <w:pStyle w:val="ListBullet"/>
        <w:rPr>
          <w:rFonts w:ascii="Arial" w:hAnsi="Arial" w:cs="Arial"/>
          <w:b/>
          <w:bCs/>
          <w:color w:val="000000" w:themeColor="text1"/>
          <w:lang w:val="en-ZA"/>
        </w:rPr>
      </w:pPr>
      <w:r w:rsidRPr="007E052F">
        <w:rPr>
          <w:rFonts w:ascii="Arial" w:hAnsi="Arial" w:cs="Arial"/>
          <w:b/>
          <w:bCs/>
          <w:color w:val="000000" w:themeColor="text1"/>
          <w:lang w:val="en-ZA"/>
        </w:rPr>
        <w:t>Justification and Business Rationale:</w:t>
      </w:r>
    </w:p>
    <w:p w14:paraId="1CA1A325" w14:textId="77777777" w:rsidR="007E052F" w:rsidRPr="007E052F" w:rsidRDefault="007E052F" w:rsidP="007E052F">
      <w:pPr>
        <w:pStyle w:val="ListBullet"/>
        <w:rPr>
          <w:rFonts w:ascii="Arial" w:hAnsi="Arial" w:cs="Arial"/>
          <w:color w:val="000000" w:themeColor="text1"/>
          <w:lang w:val="en-ZA"/>
        </w:rPr>
      </w:pPr>
      <w:r w:rsidRPr="007E052F">
        <w:rPr>
          <w:rFonts w:ascii="Arial" w:hAnsi="Arial" w:cs="Arial"/>
          <w:color w:val="000000" w:themeColor="text1"/>
          <w:lang w:val="en-ZA"/>
        </w:rPr>
        <w:t xml:space="preserve">High utilization is a leading risk indicator and often precedes missed payments. A proactive customer-focused intervention is cost-effective, easy to deploy, and aligned with </w:t>
      </w:r>
      <w:proofErr w:type="spellStart"/>
      <w:r w:rsidRPr="007E052F">
        <w:rPr>
          <w:rFonts w:ascii="Arial" w:hAnsi="Arial" w:cs="Arial"/>
          <w:color w:val="000000" w:themeColor="text1"/>
          <w:lang w:val="en-ZA"/>
        </w:rPr>
        <w:t>Geldium’s</w:t>
      </w:r>
      <w:proofErr w:type="spellEnd"/>
      <w:r w:rsidRPr="007E052F">
        <w:rPr>
          <w:rFonts w:ascii="Arial" w:hAnsi="Arial" w:cs="Arial"/>
          <w:color w:val="000000" w:themeColor="text1"/>
          <w:lang w:val="en-ZA"/>
        </w:rPr>
        <w:t xml:space="preserve"> goal of reducing delinquency through early engagement. This approach enables targeted action on high-risk customers, improving repayment outcomes while enhancing customer experience.</w:t>
      </w:r>
    </w:p>
    <w:p w14:paraId="065F128B" w14:textId="77777777" w:rsidR="007E052F" w:rsidRPr="00A537D1" w:rsidRDefault="007E052F" w:rsidP="007E052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12F299C0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Reflect on the fairness, transparency, and impact of your model and recommendation.</w:t>
      </w:r>
      <w:r w:rsidRPr="00A537D1">
        <w:rPr>
          <w:rFonts w:ascii="Arial" w:hAnsi="Arial" w:cs="Arial"/>
          <w:color w:val="000000" w:themeColor="text1"/>
        </w:rPr>
        <w:br/>
      </w:r>
      <w:r w:rsidRPr="00A537D1">
        <w:rPr>
          <w:rFonts w:ascii="Arial" w:hAnsi="Arial" w:cs="Arial"/>
          <w:color w:val="000000" w:themeColor="text1"/>
        </w:rPr>
        <w:br/>
        <w:t>Include a brief discussion of any relevant ethical considerations, such as:</w:t>
      </w:r>
    </w:p>
    <w:p w14:paraId="00012648" w14:textId="6B4C09F0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Potential for bias or unfair treatment of certain customer groups (Provide specific examples related to your analysis).</w:t>
      </w:r>
    </w:p>
    <w:p w14:paraId="47264F3A" w14:textId="553BA44A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Explainability – how easy it is to communicate why the model makes its predictions.</w:t>
      </w:r>
    </w:p>
    <w:p w14:paraId="23BA5152" w14:textId="510C173F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Whether the recommendation supports responsible financial decision-making.</w:t>
      </w:r>
    </w:p>
    <w:p w14:paraId="3DCE71AF" w14:textId="7D76B70B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Other ethical principles considered (e.g., transparency, accountability, data privacy).</w:t>
      </w:r>
    </w:p>
    <w:p w14:paraId="33EC1793" w14:textId="77777777" w:rsidR="007D72C2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br/>
        <w:t>Keep your report under two pages. Write in plain, professional language. Use headings, bullet points, or short paragraphs to make it easy for the reader to follow.</w:t>
      </w:r>
    </w:p>
    <w:p w14:paraId="47DFB11C" w14:textId="77777777" w:rsidR="00002711" w:rsidRPr="00002711" w:rsidRDefault="00002711" w:rsidP="00002711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ZA"/>
        </w:rPr>
      </w:pPr>
      <w:r>
        <w:rPr>
          <w:rFonts w:ascii="Arial" w:hAnsi="Arial" w:cs="Arial"/>
          <w:color w:val="000000" w:themeColor="text1"/>
        </w:rPr>
        <w:lastRenderedPageBreak/>
        <w:t>Discussion:</w:t>
      </w:r>
      <w:r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000000" w:themeColor="text1"/>
        </w:rPr>
        <w:br/>
      </w:r>
      <w:r w:rsidRPr="00002711">
        <w:rPr>
          <w:rFonts w:ascii="Arial" w:hAnsi="Arial" w:cs="Arial"/>
          <w:b/>
          <w:bCs/>
          <w:color w:val="000000" w:themeColor="text1"/>
          <w:lang w:val="en-ZA"/>
        </w:rPr>
        <w:t>Risk of Indirect Bias Through Financial Variables</w:t>
      </w:r>
      <w:r w:rsidRPr="00002711">
        <w:rPr>
          <w:rFonts w:ascii="Arial" w:hAnsi="Arial" w:cs="Arial"/>
          <w:color w:val="000000" w:themeColor="text1"/>
          <w:lang w:val="en-ZA"/>
        </w:rPr>
        <w:br/>
        <w:t>Features like income, utilization, or spending patterns may correlate with demographic attributes.</w:t>
      </w:r>
      <w:r w:rsidRPr="00002711">
        <w:rPr>
          <w:rFonts w:ascii="Arial" w:hAnsi="Arial" w:cs="Arial"/>
          <w:color w:val="000000" w:themeColor="text1"/>
          <w:lang w:val="en-ZA"/>
        </w:rPr>
        <w:br/>
      </w:r>
      <w:r w:rsidRPr="00002711">
        <w:rPr>
          <w:rFonts w:ascii="Arial" w:hAnsi="Arial" w:cs="Arial"/>
          <w:b/>
          <w:bCs/>
          <w:color w:val="000000" w:themeColor="text1"/>
          <w:lang w:val="en-ZA"/>
        </w:rPr>
        <w:t>Mitigation: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Regularly monitor model performance across demographic groups (e.g., age brackets), ensuring equal error rates and access to interventions.</w:t>
      </w:r>
    </w:p>
    <w:p w14:paraId="6B9A5F4D" w14:textId="77777777" w:rsidR="00002711" w:rsidRPr="00002711" w:rsidRDefault="00002711" w:rsidP="00002711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Imbalanced Treatment Across Customer Segments</w:t>
      </w:r>
      <w:r w:rsidRPr="00002711">
        <w:rPr>
          <w:rFonts w:ascii="Arial" w:hAnsi="Arial" w:cs="Arial"/>
          <w:color w:val="000000" w:themeColor="text1"/>
          <w:lang w:val="en-ZA"/>
        </w:rPr>
        <w:br/>
        <w:t>High-risk predictions may lead to more frequent outreach, which must remain supportive rather than punitive.</w:t>
      </w:r>
      <w:r w:rsidRPr="00002711">
        <w:rPr>
          <w:rFonts w:ascii="Arial" w:hAnsi="Arial" w:cs="Arial"/>
          <w:color w:val="000000" w:themeColor="text1"/>
          <w:lang w:val="en-ZA"/>
        </w:rPr>
        <w:br/>
      </w:r>
      <w:r w:rsidRPr="00002711">
        <w:rPr>
          <w:rFonts w:ascii="Arial" w:hAnsi="Arial" w:cs="Arial"/>
          <w:b/>
          <w:bCs/>
          <w:color w:val="000000" w:themeColor="text1"/>
          <w:lang w:val="en-ZA"/>
        </w:rPr>
        <w:t>Mitigation: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Ensure interventions focus on </w:t>
      </w:r>
      <w:r w:rsidRPr="00002711">
        <w:rPr>
          <w:rFonts w:ascii="Arial" w:hAnsi="Arial" w:cs="Arial"/>
          <w:b/>
          <w:bCs/>
          <w:color w:val="000000" w:themeColor="text1"/>
          <w:lang w:val="en-ZA"/>
        </w:rPr>
        <w:t>assistance</w:t>
      </w:r>
      <w:r w:rsidRPr="00002711">
        <w:rPr>
          <w:rFonts w:ascii="Arial" w:hAnsi="Arial" w:cs="Arial"/>
          <w:color w:val="000000" w:themeColor="text1"/>
          <w:lang w:val="en-ZA"/>
        </w:rPr>
        <w:t>, not restriction, and avoid discriminatory actions such as reducing credit limits solely based on model predictions.</w:t>
      </w:r>
    </w:p>
    <w:p w14:paraId="1C470EE7" w14:textId="77777777" w:rsidR="00002711" w:rsidRPr="00002711" w:rsidRDefault="00002711" w:rsidP="00002711">
      <w:pPr>
        <w:rPr>
          <w:rFonts w:ascii="Arial" w:hAnsi="Arial" w:cs="Arial"/>
          <w:b/>
          <w:bCs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Explainability</w:t>
      </w:r>
    </w:p>
    <w:p w14:paraId="6D136631" w14:textId="77777777" w:rsidR="00002711" w:rsidRPr="00002711" w:rsidRDefault="00002711" w:rsidP="00002711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color w:val="000000" w:themeColor="text1"/>
          <w:lang w:val="en-ZA"/>
        </w:rPr>
        <w:t xml:space="preserve">Use SHAP values or feature importance charts to show customers and stakeholders </w:t>
      </w:r>
      <w:r w:rsidRPr="00002711">
        <w:rPr>
          <w:rFonts w:ascii="Arial" w:hAnsi="Arial" w:cs="Arial"/>
          <w:b/>
          <w:bCs/>
          <w:color w:val="000000" w:themeColor="text1"/>
          <w:lang w:val="en-ZA"/>
        </w:rPr>
        <w:t>why</w:t>
      </w:r>
      <w:r w:rsidRPr="00002711">
        <w:rPr>
          <w:rFonts w:ascii="Arial" w:hAnsi="Arial" w:cs="Arial"/>
          <w:color w:val="000000" w:themeColor="text1"/>
          <w:lang w:val="en-ZA"/>
        </w:rPr>
        <w:t xml:space="preserve"> the model produced a risk score.</w:t>
      </w:r>
    </w:p>
    <w:p w14:paraId="1C44616F" w14:textId="77777777" w:rsidR="00002711" w:rsidRPr="00002711" w:rsidRDefault="00002711" w:rsidP="00002711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color w:val="000000" w:themeColor="text1"/>
          <w:lang w:val="en-ZA"/>
        </w:rPr>
        <w:t>Communicate predictions in plain terms: “Your credit utilization and recent missed payments suggest you may need support this month.”</w:t>
      </w:r>
    </w:p>
    <w:p w14:paraId="065AAE14" w14:textId="77777777" w:rsidR="00002711" w:rsidRPr="00002711" w:rsidRDefault="00002711" w:rsidP="00002711">
      <w:pPr>
        <w:rPr>
          <w:rFonts w:ascii="Arial" w:hAnsi="Arial" w:cs="Arial"/>
          <w:b/>
          <w:bCs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Responsible AI Principles</w:t>
      </w:r>
    </w:p>
    <w:p w14:paraId="5FD4E511" w14:textId="77777777" w:rsidR="00002711" w:rsidRPr="00002711" w:rsidRDefault="00002711" w:rsidP="00002711">
      <w:pPr>
        <w:numPr>
          <w:ilvl w:val="0"/>
          <w:numId w:val="14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Transparency: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Clearly outline what data is used and how risk scores are generated.</w:t>
      </w:r>
    </w:p>
    <w:p w14:paraId="0564B909" w14:textId="77777777" w:rsidR="00002711" w:rsidRPr="00002711" w:rsidRDefault="00002711" w:rsidP="00002711">
      <w:pPr>
        <w:numPr>
          <w:ilvl w:val="0"/>
          <w:numId w:val="14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Accountability: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Human oversight remains central; the model supports—not replaces—collections decision-making.</w:t>
      </w:r>
    </w:p>
    <w:p w14:paraId="041B4B6A" w14:textId="77777777" w:rsidR="00002711" w:rsidRPr="00002711" w:rsidRDefault="00002711" w:rsidP="00002711">
      <w:pPr>
        <w:numPr>
          <w:ilvl w:val="0"/>
          <w:numId w:val="14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Data Privacy: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Only necessary financial data is used; no personally sensitive characteristics are included.</w:t>
      </w:r>
    </w:p>
    <w:p w14:paraId="2628DD61" w14:textId="77777777" w:rsidR="00002711" w:rsidRPr="00002711" w:rsidRDefault="00002711" w:rsidP="00002711">
      <w:pPr>
        <w:numPr>
          <w:ilvl w:val="0"/>
          <w:numId w:val="14"/>
        </w:numPr>
        <w:rPr>
          <w:rFonts w:ascii="Arial" w:hAnsi="Arial" w:cs="Arial"/>
          <w:color w:val="000000" w:themeColor="text1"/>
          <w:lang w:val="en-ZA"/>
        </w:rPr>
      </w:pPr>
      <w:r w:rsidRPr="00002711">
        <w:rPr>
          <w:rFonts w:ascii="Arial" w:hAnsi="Arial" w:cs="Arial"/>
          <w:b/>
          <w:bCs/>
          <w:color w:val="000000" w:themeColor="text1"/>
          <w:lang w:val="en-ZA"/>
        </w:rPr>
        <w:t>Customer Benefit:</w:t>
      </w:r>
      <w:r w:rsidRPr="00002711">
        <w:rPr>
          <w:rFonts w:ascii="Arial" w:hAnsi="Arial" w:cs="Arial"/>
          <w:color w:val="000000" w:themeColor="text1"/>
          <w:lang w:val="en-ZA"/>
        </w:rPr>
        <w:t xml:space="preserve"> Interventions are designed to help customers manage finances, not penalize them.</w:t>
      </w:r>
    </w:p>
    <w:p w14:paraId="0E382D78" w14:textId="08C18ABD" w:rsidR="00002711" w:rsidRPr="00A537D1" w:rsidRDefault="00002711">
      <w:pPr>
        <w:rPr>
          <w:rFonts w:ascii="Arial" w:hAnsi="Arial" w:cs="Arial"/>
          <w:color w:val="000000" w:themeColor="text1"/>
        </w:rPr>
      </w:pPr>
    </w:p>
    <w:sectPr w:rsidR="00002711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D3638C"/>
    <w:multiLevelType w:val="multilevel"/>
    <w:tmpl w:val="931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481C"/>
    <w:multiLevelType w:val="multilevel"/>
    <w:tmpl w:val="4EF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548FC"/>
    <w:multiLevelType w:val="multilevel"/>
    <w:tmpl w:val="6DF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D781B"/>
    <w:multiLevelType w:val="multilevel"/>
    <w:tmpl w:val="D196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941867"/>
    <w:multiLevelType w:val="multilevel"/>
    <w:tmpl w:val="DD94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877548166">
    <w:abstractNumId w:val="12"/>
  </w:num>
  <w:num w:numId="11" w16cid:durableId="1425540744">
    <w:abstractNumId w:val="11"/>
  </w:num>
  <w:num w:numId="12" w16cid:durableId="1166089972">
    <w:abstractNumId w:val="13"/>
  </w:num>
  <w:num w:numId="13" w16cid:durableId="1846246916">
    <w:abstractNumId w:val="10"/>
  </w:num>
  <w:num w:numId="14" w16cid:durableId="1704593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11"/>
    <w:rsid w:val="00034616"/>
    <w:rsid w:val="0006063C"/>
    <w:rsid w:val="0015074B"/>
    <w:rsid w:val="0029639D"/>
    <w:rsid w:val="00326F90"/>
    <w:rsid w:val="0037348C"/>
    <w:rsid w:val="005B2A6D"/>
    <w:rsid w:val="005E13DA"/>
    <w:rsid w:val="006A04A6"/>
    <w:rsid w:val="0072691A"/>
    <w:rsid w:val="007D72C2"/>
    <w:rsid w:val="007E052F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27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Silomo Kunene</cp:lastModifiedBy>
  <cp:revision>5</cp:revision>
  <dcterms:created xsi:type="dcterms:W3CDTF">2025-12-11T12:49:00Z</dcterms:created>
  <dcterms:modified xsi:type="dcterms:W3CDTF">2025-12-11T13:02:00Z</dcterms:modified>
  <cp:category/>
</cp:coreProperties>
</file>