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ind w:left="0" w:right="0" w:firstLine="0"/>
              <w:rPr>
                <w:i w:val="1"/>
              </w:rPr>
            </w:pPr>
            <w:r w:rsidDel="00000000" w:rsidR="00000000" w:rsidRPr="00000000">
              <w:rPr>
                <w:i w:val="1"/>
                <w:rtl w:val="0"/>
              </w:rPr>
              <w:t xml:space="preserve">Collaborating with other companies can raise data-related risks, as it creates additional opportunities for information to be exposed. While the threat of theft exists, it may not be a major concern since the bank is located in a low-crime area.</w:t>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