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referral-agreement"/>
    <w:p>
      <w:pPr>
        <w:pStyle w:val="Heading1"/>
      </w:pPr>
      <w:r>
        <w:t xml:space="preserve">Referral Agreement</w:t>
      </w:r>
    </w:p>
    <w:p>
      <w:pPr>
        <w:pStyle w:val="FirstParagraph"/>
      </w:pPr>
      <w:r>
        <w:t xml:space="preserve">Between Quintel LLC (</w:t>
      </w:r>
      <w:r>
        <w:t xml:space="preserve">“Quintel”</w:t>
      </w:r>
      <w:r>
        <w:t xml:space="preserve">) and Envision Capital Group LLC (</w:t>
      </w:r>
      <w:r>
        <w:t xml:space="preserve">“Envision”</w:t>
      </w:r>
      <w:r>
        <w:t xml:space="preserve">), effective as of the last signature below.</w:t>
      </w:r>
    </w:p>
    <w:p>
      <w:pPr>
        <w:pStyle w:val="BodyText"/>
      </w:pPr>
      <w:r>
        <w:t xml:space="preserve">Quintel sources equipment financing leads and refers them to Envision. Envision pays Quintel a fee when a referred deal funds.</w:t>
      </w:r>
    </w:p>
    <w:bookmarkStart w:id="9" w:name="referrals"/>
    <w:p>
      <w:pPr>
        <w:pStyle w:val="Heading3"/>
      </w:pPr>
      <w:r>
        <w:t xml:space="preserve">1. Referrals</w:t>
      </w:r>
    </w:p>
    <w:p>
      <w:pPr>
        <w:pStyle w:val="FirstParagraph"/>
      </w:pPr>
      <w:r>
        <w:t xml:space="preserve">Quintel sends leads by email. Each lead includes at least the company name, a contact, and why Quintel believes it is a financing opportunity. A lead is a</w:t>
      </w:r>
      <w:r>
        <w:t xml:space="preserve"> </w:t>
      </w:r>
      <w:r>
        <w:t xml:space="preserve">“Referred Lead”</w:t>
      </w:r>
      <w:r>
        <w:t xml:space="preserve"> </w:t>
      </w:r>
      <w:r>
        <w:t xml:space="preserve">on the date Quintel delivers it; the sent email is the record. A company Envision is already actively working at the time of delivery is not a Referred Lead. Envision flags any such company within 10 business days of delivery.</w:t>
      </w:r>
    </w:p>
    <w:bookmarkEnd w:id="9"/>
    <w:bookmarkStart w:id="10" w:name="working-leads"/>
    <w:p>
      <w:pPr>
        <w:pStyle w:val="Heading3"/>
      </w:pPr>
      <w:r>
        <w:t xml:space="preserve">2. Working leads</w:t>
      </w:r>
    </w:p>
    <w:p>
      <w:pPr>
        <w:pStyle w:val="FirstParagraph"/>
      </w:pPr>
      <w:r>
        <w:t xml:space="preserve">Envision has no obligation to respond to any lead. Within 5 business days of a delivery, Envision tells Quintel which leads it is working, by reply email or one click on the tracking page Quintel provides. Quintel holds those leads exclusively for Envision. Quintel may place any unclaimed lead with another lender. A claim lapses after 30 days of inactivity unless Envision renews it.</w:t>
      </w:r>
    </w:p>
    <w:bookmarkEnd w:id="10"/>
    <w:bookmarkStart w:id="11" w:name="fee"/>
    <w:p>
      <w:pPr>
        <w:pStyle w:val="Heading3"/>
      </w:pPr>
      <w:r>
        <w:t xml:space="preserve">3. Fee</w:t>
      </w:r>
    </w:p>
    <w:p>
      <w:pPr>
        <w:pStyle w:val="FirstParagraph"/>
      </w:pPr>
      <w:r>
        <w:t xml:space="preserve">Envision pays Quintel 1% of the amount financed on every Referred Lead that reaches final funding within 12 months of delivery. The fee applies whatever the deal size, however much of the process Quintel handled, and whether or not the lead was claimed. It includes deals funded through an Envision affiliate or program, and deals Envision places with another funder for compensation. Pricing concessions do not reduce the fee. No fee is owed on a lead that does not fund.</w:t>
      </w:r>
    </w:p>
    <w:p>
      <w:pPr>
        <w:pStyle w:val="BodyText"/>
      </w:pPr>
      <w:r>
        <w:t xml:space="preserve">Final funding means delivery and acceptance of the equipment, or disbursement for a working capital transaction. Envision pays the fee within 15 days of final funding.</w:t>
      </w:r>
    </w:p>
    <w:bookmarkEnd w:id="11"/>
    <w:bookmarkStart w:id="12" w:name="funding-notice"/>
    <w:p>
      <w:pPr>
        <w:pStyle w:val="Heading3"/>
      </w:pPr>
      <w:r>
        <w:t xml:space="preserve">4. Funding notice</w:t>
      </w:r>
    </w:p>
    <w:p>
      <w:pPr>
        <w:pStyle w:val="FirstParagraph"/>
      </w:pPr>
      <w:r>
        <w:t xml:space="preserve">Envision notifies Quintel within 10 days when a Referred Lead funds, including the amount financed. A reply email or one click on the tracking page is enough. Feedback beyond that, such as passes or fit notes, is welcome and improves what Envision receives next, but is never required.</w:t>
      </w:r>
    </w:p>
    <w:bookmarkEnd w:id="12"/>
    <w:bookmarkStart w:id="13" w:name="relationship"/>
    <w:p>
      <w:pPr>
        <w:pStyle w:val="Heading3"/>
      </w:pPr>
      <w:r>
        <w:t xml:space="preserve">5. Relationship</w:t>
      </w:r>
    </w:p>
    <w:p>
      <w:pPr>
        <w:pStyle w:val="Compact"/>
        <w:numPr>
          <w:ilvl w:val="0"/>
          <w:numId w:val="1001"/>
        </w:numPr>
      </w:pPr>
      <w:r>
        <w:t xml:space="preserve">Non-exclusive both ways: Quintel works with other lenders; Envision takes deals from any source. Neither party commits to any volume.</w:t>
      </w:r>
    </w:p>
    <w:p>
      <w:pPr>
        <w:pStyle w:val="Compact"/>
        <w:numPr>
          <w:ilvl w:val="0"/>
          <w:numId w:val="1001"/>
        </w:numPr>
      </w:pPr>
      <w:r>
        <w:t xml:space="preserve">Quintel is an independent contractor and cannot bind Envision. Envision makes all credit decisions and does its own diligence, including fraud review.</w:t>
      </w:r>
    </w:p>
    <w:p>
      <w:pPr>
        <w:pStyle w:val="Compact"/>
        <w:numPr>
          <w:ilvl w:val="0"/>
          <w:numId w:val="1001"/>
        </w:numPr>
      </w:pPr>
      <w:r>
        <w:t xml:space="preserve">Quintel provides lead information in good faith and does not guarantee any lead’s accuracy, creditworthiness, or intent to transact.</w:t>
      </w:r>
    </w:p>
    <w:p>
      <w:pPr>
        <w:pStyle w:val="Compact"/>
        <w:numPr>
          <w:ilvl w:val="0"/>
          <w:numId w:val="1001"/>
        </w:numPr>
      </w:pPr>
      <w:r>
        <w:t xml:space="preserve">Each party keeps the other’s non-public information confidential. Envision uses Referred Lead information only to evaluate and fund those leads.</w:t>
      </w:r>
    </w:p>
    <w:p>
      <w:pPr>
        <w:pStyle w:val="Compact"/>
        <w:numPr>
          <w:ilvl w:val="0"/>
          <w:numId w:val="1001"/>
        </w:numPr>
      </w:pPr>
      <w:r>
        <w:t xml:space="preserve">Each party is responsible for its own licenses and regulatory compliance; Quintel’s role is limited to identifying and introducing prospects.</w:t>
      </w:r>
    </w:p>
    <w:bookmarkEnd w:id="13"/>
    <w:bookmarkStart w:id="14" w:name="term-and-general"/>
    <w:p>
      <w:pPr>
        <w:pStyle w:val="Heading3"/>
      </w:pPr>
      <w:r>
        <w:t xml:space="preserve">6. Term and general</w:t>
      </w:r>
    </w:p>
    <w:p>
      <w:pPr>
        <w:pStyle w:val="FirstParagraph"/>
      </w:pPr>
      <w:r>
        <w:t xml:space="preserve">Either party may end this agreement with 30 days’ written notice. The fee and funding-notice terms survive for leads referred before the end date. Texas law governs. Changes must be in writing, signed by both parties. This is the entire agreement on this subject.</w:t>
      </w:r>
    </w:p>
    <w:p>
      <w:r>
        <w:pict>
          <v:rect style="width:0;height:1.5pt" o:hralign="center" o:hrstd="t" o:hr="t"/>
        </w:pict>
      </w:r>
    </w:p>
    <w:p>
      <w:pPr>
        <w:pStyle w:val="FirstParagraph"/>
      </w:pPr>
      <w:r>
        <w:t xml:space="preserve">Agreed and accepted:</w:t>
      </w:r>
    </w:p>
    <w:p>
      <w:pPr>
        <w:pStyle w:val="BodyText"/>
      </w:pPr>
      <w:r>
        <w:rPr>
          <w:b/>
          <w:bCs/>
        </w:rPr>
        <w:t xml:space="preserve">QUINTEL LLC</w:t>
      </w:r>
    </w:p>
    <w:p>
      <w:pPr>
        <w:pStyle w:val="BodyText"/>
      </w:pPr>
      <w:r>
        <w:br/>
      </w:r>
      <w:r>
        <w:t xml:space="preserve">By: ______________________________________</w:t>
      </w:r>
    </w:p>
    <w:p>
      <w:pPr>
        <w:pStyle w:val="BodyText"/>
      </w:pPr>
      <w:r>
        <w:t xml:space="preserve">Name: Simon Pettibone</w:t>
      </w:r>
    </w:p>
    <w:p>
      <w:pPr>
        <w:pStyle w:val="BodyText"/>
      </w:pPr>
      <w:r>
        <w:t xml:space="preserve">Title: Co-Founder</w:t>
      </w:r>
    </w:p>
    <w:p>
      <w:pPr>
        <w:pStyle w:val="BodyText"/>
      </w:pPr>
      <w:r>
        <w:t xml:space="preserve">Date: ____________________________________</w:t>
      </w:r>
    </w:p>
    <w:p>
      <w:pPr>
        <w:pStyle w:val="BodyText"/>
      </w:pPr>
      <w:r>
        <w:br/>
      </w:r>
      <w:r>
        <w:br/>
      </w:r>
      <w:r>
        <w:rPr>
          <w:b/>
          <w:bCs/>
        </w:rPr>
        <w:t xml:space="preserve">ENVISION CAPITAL GROUP LLC</w:t>
      </w:r>
    </w:p>
    <w:p>
      <w:pPr>
        <w:pStyle w:val="BodyText"/>
      </w:pPr>
      <w:r>
        <w:br/>
      </w:r>
      <w:r>
        <w:t xml:space="preserve">By: ______________________________________</w:t>
      </w:r>
    </w:p>
    <w:p>
      <w:pPr>
        <w:pStyle w:val="BodyText"/>
      </w:pPr>
      <w:r>
        <w:t xml:space="preserve">Name: ____________________________________</w:t>
      </w:r>
    </w:p>
    <w:p>
      <w:pPr>
        <w:pStyle w:val="BodyText"/>
      </w:pPr>
      <w:r>
        <w:t xml:space="preserve">Title: ____________________________________</w:t>
      </w:r>
    </w:p>
    <w:p>
      <w:pPr>
        <w:pStyle w:val="BodyText"/>
      </w:pPr>
      <w:r>
        <w:t xml:space="preserve">Date: ____________________________________</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2026-08-19T19:48:32Z</dcterms:created>
  <dcterms:modified xsi:type="dcterms:W3CDTF">2026-08-19T19:48:32Z</dcterms:modified>
</cp:coreProperties>
</file>

<file path=docProps/custom.xml><?xml version="1.0" encoding="utf-8"?>
<Properties xmlns="http://schemas.openxmlformats.org/officeDocument/2006/custom-properties" xmlns:vt="http://schemas.openxmlformats.org/officeDocument/2006/docPropsVTypes"/>
</file>