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rFonts w:ascii="Arial" w:cs="Arial" w:eastAsia="Arial" w:hAnsi="Arial"/>
          <w:sz w:val="28"/>
          <w:szCs w:val="28"/>
        </w:rPr>
      </w:pPr>
      <w:r w:rsidDel="00000000" w:rsidR="00000000" w:rsidRPr="00000000">
        <w:rPr>
          <w:rFonts w:ascii="Arial" w:cs="Arial" w:eastAsia="Arial" w:hAnsi="Arial"/>
          <w:b w:val="1"/>
          <w:bCs w:val="1"/>
          <w:color w:val="1f3864"/>
          <w:sz w:val="28"/>
          <w:szCs w:val="28"/>
          <w:rtl w:val="0"/>
        </w:rPr>
        <w:t xml:space="preserve">BIGG DIGITAL ASSETS INC.</w:t>
      </w:r>
      <w:r w:rsidDel="00000000" w:rsidR="00000000" w:rsidRPr="00000000">
        <w:rPr>
          <w:rtl w:val="0"/>
        </w:rPr>
      </w:r>
    </w:p>
    <w:p w:rsidR="00000000" w:rsidDel="00000000" w:rsidP="00000000" w:rsidRDefault="00000000" w:rsidRPr="00000000" w14:paraId="00000002">
      <w:pPr>
        <w:pBdr>
          <w:bottom w:color="bfbfbf" w:space="0" w:sz="6" w:val="single"/>
        </w:pBdr>
        <w:spacing w:after="200" w:lineRule="auto"/>
        <w:rPr>
          <w:rFonts w:ascii="Arial" w:cs="Arial" w:eastAsia="Arial" w:hAnsi="Arial"/>
        </w:rPr>
      </w:pPr>
      <w:r w:rsidDel="00000000" w:rsidR="00000000" w:rsidRPr="00000000">
        <w:rPr>
          <w:rFonts w:ascii="Arial" w:cs="Arial" w:eastAsia="Arial" w:hAnsi="Arial"/>
          <w:color w:val="595959"/>
          <w:rtl w:val="0"/>
        </w:rPr>
        <w:t xml:space="preserve">Vancouver, British Columbia, Canada  ·  TSX-V: BIGG  ·  OTCQB: BBKCF</w:t>
      </w:r>
      <w:r w:rsidDel="00000000" w:rsidR="00000000" w:rsidRPr="00000000">
        <w:rPr>
          <w:rtl w:val="0"/>
        </w:rPr>
      </w:r>
    </w:p>
    <w:p w:rsidR="00000000" w:rsidDel="00000000" w:rsidP="00000000" w:rsidRDefault="00000000" w:rsidRPr="00000000" w14:paraId="00000003">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200" w:line="276" w:lineRule="auto"/>
        <w:rPr>
          <w:rFonts w:ascii="Arial" w:cs="Arial" w:eastAsia="Arial" w:hAnsi="Arial"/>
        </w:rPr>
      </w:pPr>
      <w:r w:rsidDel="00000000" w:rsidR="00000000" w:rsidRPr="00000000">
        <w:rPr>
          <w:rFonts w:ascii="Arial" w:cs="Arial" w:eastAsia="Arial" w:hAnsi="Arial"/>
          <w:rtl w:val="0"/>
        </w:rPr>
        <w:t xml:space="preserve">August 14, 2026</w:t>
      </w:r>
      <w:r w:rsidDel="00000000" w:rsidR="00000000" w:rsidRPr="00000000">
        <w:rPr>
          <w:rtl w:val="0"/>
        </w:rPr>
      </w:r>
    </w:p>
    <w:p w:rsidR="00000000" w:rsidDel="00000000" w:rsidP="00000000" w:rsidRDefault="00000000" w:rsidRPr="00000000" w14:paraId="00000005">
      <w:pPr>
        <w:spacing w:after="200" w:line="276" w:lineRule="auto"/>
        <w:rPr>
          <w:rFonts w:ascii="Arial" w:cs="Arial" w:eastAsia="Arial" w:hAnsi="Arial"/>
        </w:rPr>
      </w:pPr>
      <w:r w:rsidDel="00000000" w:rsidR="00000000" w:rsidRPr="00000000">
        <w:rPr>
          <w:rFonts w:ascii="Arial" w:cs="Arial" w:eastAsia="Arial" w:hAnsi="Arial"/>
          <w:b w:val="1"/>
          <w:bCs w:val="1"/>
          <w:color w:val="000000"/>
          <w:rtl w:val="0"/>
        </w:rPr>
        <w:t xml:space="preserve">PRIVATE AND CONFIDENTIAL</w:t>
      </w:r>
      <w:r w:rsidDel="00000000" w:rsidR="00000000" w:rsidRPr="00000000">
        <w:rPr>
          <w:rtl w:val="0"/>
        </w:rPr>
      </w:r>
    </w:p>
    <w:p w:rsidR="00000000" w:rsidDel="00000000" w:rsidP="00000000" w:rsidRDefault="00000000" w:rsidRPr="00000000" w14:paraId="00000006">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RebelFi, Inc.</w:t>
      </w:r>
      <w:r w:rsidDel="00000000" w:rsidR="00000000" w:rsidRPr="00000000">
        <w:rPr>
          <w:rtl w:val="0"/>
        </w:rPr>
      </w:r>
    </w:p>
    <w:p w:rsidR="00000000" w:rsidDel="00000000" w:rsidP="00000000" w:rsidRDefault="00000000" w:rsidRPr="00000000" w14:paraId="00000007">
      <w:pPr>
        <w:spacing w:after="220" w:line="276" w:lineRule="auto"/>
        <w:rPr>
          <w:rFonts w:ascii="Arial" w:cs="Arial" w:eastAsia="Arial" w:hAnsi="Arial"/>
        </w:rPr>
      </w:pPr>
      <w:r w:rsidDel="00000000" w:rsidR="00000000" w:rsidRPr="00000000">
        <w:rPr>
          <w:rFonts w:ascii="Arial" w:cs="Arial" w:eastAsia="Arial" w:hAnsi="Arial"/>
          <w:color w:val="000000"/>
          <w:rtl w:val="0"/>
        </w:rPr>
        <w:t xml:space="preserve">Attention: Aleksandar Perak and Simon Pettibone, Co-Founders</w:t>
      </w:r>
      <w:r w:rsidDel="00000000" w:rsidR="00000000" w:rsidRPr="00000000">
        <w:rPr>
          <w:rtl w:val="0"/>
        </w:rPr>
      </w:r>
    </w:p>
    <w:p w:rsidR="00000000" w:rsidDel="00000000" w:rsidP="00000000" w:rsidRDefault="00000000" w:rsidRPr="00000000" w14:paraId="00000008">
      <w:pPr>
        <w:spacing w:after="220" w:line="276" w:lineRule="auto"/>
        <w:rPr>
          <w:rFonts w:ascii="Arial" w:cs="Arial" w:eastAsia="Arial" w:hAnsi="Arial"/>
        </w:rPr>
      </w:pPr>
      <w:r w:rsidDel="00000000" w:rsidR="00000000" w:rsidRPr="00000000">
        <w:rPr>
          <w:rFonts w:ascii="Arial" w:cs="Arial" w:eastAsia="Arial" w:hAnsi="Arial"/>
          <w:b w:val="1"/>
          <w:bCs w:val="1"/>
          <w:color w:val="000000"/>
          <w:rtl w:val="0"/>
        </w:rPr>
        <w:t xml:space="preserve">Re:  Non-Binding Letter of Intent — Proposed Acquisition of the RebelFi Business</w:t>
      </w:r>
      <w:r w:rsidDel="00000000" w:rsidR="00000000" w:rsidRPr="00000000">
        <w:rPr>
          <w:rtl w:val="0"/>
        </w:rPr>
      </w:r>
    </w:p>
    <w:p w:rsidR="00000000" w:rsidDel="00000000" w:rsidP="00000000" w:rsidRDefault="00000000" w:rsidRPr="00000000" w14:paraId="00000009">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Alek and Simon,</w:t>
      </w:r>
      <w:r w:rsidDel="00000000" w:rsidR="00000000" w:rsidRPr="00000000">
        <w:rPr>
          <w:rtl w:val="0"/>
        </w:rPr>
      </w:r>
    </w:p>
    <w:p w:rsidR="00000000" w:rsidDel="00000000" w:rsidP="00000000" w:rsidRDefault="00000000" w:rsidRPr="00000000" w14:paraId="0000000A">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This letter sets out the principal terms on which BIGG Digital Assets Inc. ("BIGG") proposes to acquire the business, technology and team of RebelFi, Inc. (the "Company"). It follows our discussions to date and the due diligence request list delivered to you on 4 August 2026.</w:t>
      </w:r>
      <w:r w:rsidDel="00000000" w:rsidR="00000000" w:rsidRPr="00000000">
        <w:rPr>
          <w:rtl w:val="0"/>
        </w:rPr>
      </w:r>
    </w:p>
    <w:p w:rsidR="00000000" w:rsidDel="00000000" w:rsidP="00000000" w:rsidRDefault="00000000" w:rsidRPr="00000000" w14:paraId="0000000B">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We want to be direct about how we see this transaction. We are acquiring capability, not revenue. The value is in the product you have built, the on-chain infrastructure behind it, and the two of you. The terms below are shaped accordingly, and the conditions in Section 7 are the specific items that stand between this letter and a signed agreement.</w:t>
      </w:r>
      <w:r w:rsidDel="00000000" w:rsidR="00000000" w:rsidRPr="00000000">
        <w:rPr>
          <w:rtl w:val="0"/>
        </w:rPr>
      </w:r>
    </w:p>
    <w:p w:rsidR="00000000" w:rsidDel="00000000" w:rsidP="00000000" w:rsidRDefault="00000000" w:rsidRPr="00000000" w14:paraId="0000000C">
      <w:pPr>
        <w:spacing w:after="200" w:line="276" w:lineRule="auto"/>
        <w:rPr>
          <w:rFonts w:ascii="Arial" w:cs="Arial" w:eastAsia="Arial" w:hAnsi="Arial"/>
        </w:rPr>
      </w:pPr>
      <w:r w:rsidDel="00000000" w:rsidR="00000000" w:rsidRPr="00000000">
        <w:rPr>
          <w:rFonts w:ascii="Arial" w:cs="Arial" w:eastAsia="Arial" w:hAnsi="Arial"/>
          <w:i w:val="0"/>
          <w:iCs w:val="0"/>
          <w:color w:val="000000"/>
          <w:rtl w:val="0"/>
        </w:rPr>
        <w:t xml:space="preserve">Except for Sections 9 through 14, which are intended to be legally binding, this letter is </w:t>
      </w:r>
      <w:r w:rsidDel="00000000" w:rsidR="00000000" w:rsidRPr="00000000">
        <w:rPr>
          <w:rFonts w:ascii="Arial" w:cs="Arial" w:eastAsia="Arial" w:hAnsi="Arial"/>
          <w:b w:val="1"/>
          <w:bCs w:val="1"/>
          <w:color w:val="000000"/>
          <w:rtl w:val="0"/>
        </w:rPr>
        <w:t xml:space="preserve">not binding</w:t>
      </w:r>
      <w:r w:rsidDel="00000000" w:rsidR="00000000" w:rsidRPr="00000000">
        <w:rPr>
          <w:rFonts w:ascii="Arial" w:cs="Arial" w:eastAsia="Arial" w:hAnsi="Arial"/>
          <w:color w:val="000000"/>
          <w:rtl w:val="0"/>
        </w:rPr>
        <w:t xml:space="preserve"> on either party and creates no obligation to complete the Transaction.</w:t>
      </w:r>
      <w:r w:rsidDel="00000000" w:rsidR="00000000" w:rsidRPr="00000000">
        <w:rPr>
          <w:rtl w:val="0"/>
        </w:rPr>
      </w:r>
    </w:p>
    <w:p w:rsidR="00000000" w:rsidDel="00000000" w:rsidP="00000000" w:rsidRDefault="00000000" w:rsidRPr="00000000" w14:paraId="0000000D">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  Parties and Transaction</w:t>
      </w:r>
      <w:r w:rsidDel="00000000" w:rsidR="00000000" w:rsidRPr="00000000">
        <w:rPr>
          <w:rtl w:val="0"/>
        </w:rPr>
      </w:r>
    </w:p>
    <w:p w:rsidR="00000000" w:rsidDel="00000000" w:rsidP="00000000" w:rsidRDefault="00000000" w:rsidRPr="00000000" w14:paraId="0000000E">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BIGG, or a wholly-owned subsidiary designated by BIGG (the "Purchaser"), proposes to acquire substantially all of the assets, intellectual property and operating capability comprising the Company’s business (the "Business"), together with the engagement of both founders, on the terms set out below (the "Transaction"). For clarity, the Purchaser will not be Netcoins Inc., and nothing in the Transaction contemplates the deployment of any acquired product to Netcoins clients prior to receipt of the regulatory advice described in Section 7.</w:t>
      </w:r>
      <w:r w:rsidDel="00000000" w:rsidR="00000000" w:rsidRPr="00000000">
        <w:rPr>
          <w:rtl w:val="0"/>
        </w:rPr>
      </w:r>
    </w:p>
    <w:p w:rsidR="00000000" w:rsidDel="00000000" w:rsidP="00000000" w:rsidRDefault="00000000" w:rsidRPr="00000000" w14:paraId="0000000F">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2.  Structure</w:t>
      </w:r>
      <w:r w:rsidDel="00000000" w:rsidR="00000000" w:rsidRPr="00000000">
        <w:rPr>
          <w:rtl w:val="0"/>
        </w:rPr>
      </w:r>
    </w:p>
    <w:p w:rsidR="00000000" w:rsidDel="00000000" w:rsidP="00000000" w:rsidRDefault="00000000" w:rsidRPr="00000000" w14:paraId="00000010">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The Transaction will be structured as a purchase of assets rather than a purchase of shares. The Purchaser will acquire the Purchased Assets free and clear of all liens, claims and encumbrances, and will not assume any liability of the Company other than obligations arising after closing under contracts expressly designated in the definitive agreement as assumed contracts.</w:t>
      </w:r>
      <w:r w:rsidDel="00000000" w:rsidR="00000000" w:rsidRPr="00000000">
        <w:rPr>
          <w:rtl w:val="0"/>
        </w:rPr>
      </w:r>
    </w:p>
    <w:p w:rsidR="00000000" w:rsidDel="00000000" w:rsidP="00000000" w:rsidRDefault="00000000" w:rsidRPr="00000000" w14:paraId="00000011">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This structure reflects execution certainty rather than any view on value. Your response to our diligence list confirms that no board or shareholder resolutions, consents or minutes have been maintained since inception, and that founder stock purchase agreements have not been located. An asset purchase allows both parties to proceed without first curing the Company’s corporate record, and removes questions of historic tax and cross-border liability from the transaction perimeter. We would rather solve this by structure than by indemnity.</w:t>
      </w:r>
      <w:r w:rsidDel="00000000" w:rsidR="00000000" w:rsidRPr="00000000">
        <w:rPr>
          <w:rtl w:val="0"/>
        </w:rPr>
      </w:r>
    </w:p>
    <w:p w:rsidR="00000000" w:rsidDel="00000000" w:rsidP="00000000" w:rsidRDefault="00000000" w:rsidRPr="00000000" w14:paraId="00000012">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3.  Purchased Assets</w:t>
      </w:r>
      <w:r w:rsidDel="00000000" w:rsidR="00000000" w:rsidRPr="00000000">
        <w:rPr>
          <w:rtl w:val="0"/>
        </w:rPr>
      </w:r>
    </w:p>
    <w:p w:rsidR="00000000" w:rsidDel="00000000" w:rsidP="00000000" w:rsidRDefault="00000000" w:rsidRPr="00000000" w14:paraId="00000013">
      <w:pPr>
        <w:spacing w:after="110" w:line="276" w:lineRule="auto"/>
        <w:rPr>
          <w:rFonts w:ascii="Arial" w:cs="Arial" w:eastAsia="Arial" w:hAnsi="Arial"/>
        </w:rPr>
      </w:pPr>
      <w:r w:rsidDel="00000000" w:rsidR="00000000" w:rsidRPr="00000000">
        <w:rPr>
          <w:rFonts w:ascii="Arial" w:cs="Arial" w:eastAsia="Arial" w:hAnsi="Arial"/>
          <w:color w:val="000000"/>
          <w:rtl w:val="0"/>
        </w:rPr>
        <w:t xml:space="preserve">The Purchased Assets will include, without limitation: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source code, repositories, build systems, documentation and technical designs comprising the RebelFi product, together with the complete commit and version history.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deployed on-chain programs and contracts, and the upgrade authority for each, transferred to keys controlled by the Purchaser at closing.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wallets and addresses controlled by or on behalf of the Company in connection with the Business, and the keys to each.</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The rebelfi.io domain and any other domains, the RebelFi name and brand, all social media handles and accounts, and all directory and application listings including the Phantom app directory listing.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customer, partner, pilot and reseller agreements, including those with Whizpay, Remitrix, Malio, KTI and PDAX, to the extent assignable, together with the benefit of all related non-disclosure agreements.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third-party integration rights and accounts to the extent assignable, including Circle CCTP, RPC and infrastructure providers, screening and monitoring vendors, and hosting.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administrative accounts, cloud accounts, API keys and key management systems used in the Business.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31" w:right="0" w:hanging="259"/>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All user, transaction and operational data of the Business, in raw exportable form.</w:t>
      </w:r>
    </w:p>
    <w:p w:rsidR="00000000" w:rsidDel="00000000" w:rsidP="00000000" w:rsidRDefault="00000000" w:rsidRPr="00000000" w14:paraId="0000001C">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4.  Excluded Liabilities</w:t>
      </w:r>
      <w:r w:rsidDel="00000000" w:rsidR="00000000" w:rsidRPr="00000000">
        <w:rPr>
          <w:rtl w:val="0"/>
        </w:rPr>
      </w:r>
    </w:p>
    <w:p w:rsidR="00000000" w:rsidDel="00000000" w:rsidP="00000000" w:rsidRDefault="00000000" w:rsidRPr="00000000" w14:paraId="0000001E">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All liabilities and obligations of the Company, whether known or unknown, accrued or contingent, and whether arising before or after closing, will remain with the Company. Without limiting that, excluded liabilities include all federal, state and foreign tax liabilities and penalties, including any exposure arising from unfiled or late-filed Form 1120 or Form 5472 returns; all accrued or deferred founder compensation and founder loans; all unpaid contractor and vendor obligations; and any liability arising from activity conducted in Colombia or any other jurisdiction in which work has been performed.</w:t>
      </w:r>
      <w:r w:rsidDel="00000000" w:rsidR="00000000" w:rsidRPr="00000000">
        <w:rPr>
          <w:rtl w:val="0"/>
        </w:rPr>
      </w:r>
    </w:p>
    <w:p w:rsidR="00000000" w:rsidDel="00000000" w:rsidP="00000000" w:rsidRDefault="00000000" w:rsidRPr="00000000" w14:paraId="0000001F">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5.  Consideration</w:t>
      </w:r>
      <w:r w:rsidDel="00000000" w:rsidR="00000000" w:rsidRPr="00000000">
        <w:rPr>
          <w:rtl w:val="0"/>
        </w:rPr>
      </w:r>
    </w:p>
    <w:p w:rsidR="00000000" w:rsidDel="00000000" w:rsidP="00000000" w:rsidRDefault="00000000" w:rsidRPr="00000000" w14:paraId="00000020">
      <w:pPr>
        <w:spacing w:after="140"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Consideration Value and Table to be added week of August 17, 2026</w:t>
      </w:r>
    </w:p>
    <w:p w:rsidR="00000000" w:rsidDel="00000000" w:rsidP="00000000" w:rsidRDefault="00000000" w:rsidRPr="00000000" w14:paraId="00000021">
      <w:pPr>
        <w:spacing w:after="140" w:line="276" w:lineRule="auto"/>
        <w:rPr>
          <w:rFonts w:ascii="Arial" w:cs="Arial" w:eastAsia="Arial" w:hAnsi="Arial"/>
        </w:rPr>
      </w:pPr>
      <w:r w:rsidDel="00000000" w:rsidR="00000000" w:rsidRPr="00000000">
        <w:rPr>
          <w:rFonts w:ascii="Arial" w:cs="Arial" w:eastAsia="Arial" w:hAnsi="Arial"/>
          <w:color w:val="000000"/>
          <w:rtl w:val="0"/>
        </w:rPr>
        <w:t xml:space="preserve">Share issuance mechanics. Shares issued in each tranche will be priced at the greater of (i) the volume-weighted average trading price of BIGG’s common shares on the TSX Venture Exchange for the ten trading days ending immediately prior to the relevant issuance date, less the maximum discount then permitted by Exchange policy, and (ii) the minimum price permitted under TSX Venture Exchange policy. All shares will be subject to a statutory four-month hold period under Canadian securities law, will be issued in reliance on available exemptions from registration under the United States Securities Act of 1933, and will bear restrictive legends accordingly. All issuances are subject to the acceptance of the TSX Venture Exchange.</w:t>
      </w:r>
      <w:r w:rsidDel="00000000" w:rsidR="00000000" w:rsidRPr="00000000">
        <w:rPr>
          <w:rtl w:val="0"/>
        </w:rPr>
      </w:r>
    </w:p>
    <w:p w:rsidR="00000000" w:rsidDel="00000000" w:rsidP="00000000" w:rsidRDefault="00000000" w:rsidRPr="00000000" w14:paraId="00000022">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We would ask you to price this consideration on the basis that BIGG shares are, and will remain for some period, restricted and thinly traded. We are not asking you to accept paper on the assumption of liquidity that does not exist.</w:t>
      </w:r>
      <w:r w:rsidDel="00000000" w:rsidR="00000000" w:rsidRPr="00000000">
        <w:rPr>
          <w:rtl w:val="0"/>
        </w:rPr>
      </w:r>
    </w:p>
    <w:p w:rsidR="00000000" w:rsidDel="00000000" w:rsidP="00000000" w:rsidRDefault="00000000" w:rsidRPr="00000000" w14:paraId="00000023">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On the level of the base consideration, we would rather be straightforward than negotiate through a document. The Company has been funded with approximately US$70,000 of capital, has no revenue, and the product has not achieved commercial traction. What we are buying is working technology, the counterparty relationships you have built, and the two of you. We have set the base against what it would cost us to build the same capability, and we have put the earn-out on top so that if the product performs under our distribution, you participate in that rather than argue for it now.</w:t>
      </w:r>
      <w:r w:rsidDel="00000000" w:rsidR="00000000" w:rsidRPr="00000000">
        <w:rPr>
          <w:rtl w:val="0"/>
        </w:rPr>
      </w:r>
    </w:p>
    <w:p w:rsidR="00000000" w:rsidDel="00000000" w:rsidP="00000000" w:rsidRDefault="00000000" w:rsidRPr="00000000" w14:paraId="00000024">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6.  Founder Engagement</w:t>
      </w:r>
      <w:r w:rsidDel="00000000" w:rsidR="00000000" w:rsidRPr="00000000">
        <w:rPr>
          <w:rtl w:val="0"/>
        </w:rPr>
      </w:r>
    </w:p>
    <w:p w:rsidR="00000000" w:rsidDel="00000000" w:rsidP="00000000" w:rsidRDefault="00000000" w:rsidRPr="00000000" w14:paraId="00000025">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At or before closing, each founder will enter into a consulting agreement with the Purchaser covering the continued operation and development of the acquired technology and of related payment infrastructure initiatives of the Purchaser and its affiliates. Each agreement will be on customary terms including scope of services, fees, confidentiality, assignment of intellectual property, and non-solicitation, and will be negotiated separately from and concurrently with the definitive agreement.</w:t>
      </w:r>
      <w:r w:rsidDel="00000000" w:rsidR="00000000" w:rsidRPr="00000000">
        <w:rPr>
          <w:rtl w:val="0"/>
        </w:rPr>
      </w:r>
    </w:p>
    <w:p w:rsidR="00000000" w:rsidDel="00000000" w:rsidP="00000000" w:rsidRDefault="00000000" w:rsidRPr="00000000" w14:paraId="00000026">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Commencement. The Purchaser may designate the date on which services commence (the "Engagement Commencement Date"), being a date of the Purchaser’s choosing that is no later than six months following closing. We want to be transparent that the Purchaser expects to complete a financing before services begin, and we would rather tell you that now than have you discover it later. During the period between closing and the Engagement Commencement Date, each founder will keep the Purchaser informed of any full-time commitment he proposes to accept and will give the Purchaser a reasonable opportunity to bring the Engagement Commencement Date forward before doing so.</w:t>
      </w:r>
      <w:r w:rsidDel="00000000" w:rsidR="00000000" w:rsidRPr="00000000">
        <w:rPr>
          <w:rtl w:val="0"/>
        </w:rPr>
      </w:r>
    </w:p>
    <w:p w:rsidR="00000000" w:rsidDel="00000000" w:rsidP="00000000" w:rsidRDefault="00000000" w:rsidRPr="00000000" w14:paraId="00000027">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Personal assignment. Each founder will also execute an assignment to the Purchaser, in his personal capacity, of all intellectual property relating to the Business, so that title does not depend solely on assignments made to or by the Company.</w:t>
      </w:r>
      <w:r w:rsidDel="00000000" w:rsidR="00000000" w:rsidRPr="00000000">
        <w:rPr>
          <w:rtl w:val="0"/>
        </w:rPr>
      </w:r>
    </w:p>
    <w:p w:rsidR="00000000" w:rsidDel="00000000" w:rsidP="00000000" w:rsidRDefault="00000000" w:rsidRPr="00000000" w14:paraId="00000028">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Each founder’s consulting arrangement is independent of the other’s. The departure or non-engagement of one founder does not affect the entitlements or obligations of the other.</w:t>
      </w:r>
      <w:r w:rsidDel="00000000" w:rsidR="00000000" w:rsidRPr="00000000">
        <w:rPr>
          <w:rtl w:val="0"/>
        </w:rPr>
      </w:r>
    </w:p>
    <w:p w:rsidR="00000000" w:rsidDel="00000000" w:rsidP="00000000" w:rsidRDefault="00000000" w:rsidRPr="00000000" w14:paraId="00000029">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7.  Conditions Precedent</w:t>
      </w:r>
      <w:r w:rsidDel="00000000" w:rsidR="00000000" w:rsidRPr="00000000">
        <w:rPr>
          <w:rtl w:val="0"/>
        </w:rPr>
      </w:r>
    </w:p>
    <w:p w:rsidR="00000000" w:rsidDel="00000000" w:rsidP="00000000" w:rsidRDefault="00000000" w:rsidRPr="00000000" w14:paraId="0000002A">
      <w:pPr>
        <w:spacing w:after="110" w:line="276" w:lineRule="auto"/>
        <w:rPr>
          <w:rFonts w:ascii="Arial" w:cs="Arial" w:eastAsia="Arial" w:hAnsi="Arial"/>
        </w:rPr>
      </w:pPr>
      <w:r w:rsidDel="00000000" w:rsidR="00000000" w:rsidRPr="00000000">
        <w:rPr>
          <w:rFonts w:ascii="Arial" w:cs="Arial" w:eastAsia="Arial" w:hAnsi="Arial"/>
          <w:color w:val="000000"/>
          <w:rtl w:val="0"/>
        </w:rPr>
        <w:t xml:space="preserve">Completion will be conditional on the following, each of which is presently outstanding or unresolved: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rtl w:val="0"/>
        </w:rPr>
        <w:t xml:space="preserve">Completion of the Due Diligence requirements set out by the Purchaser.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Written confirmation from each founder, and where applicable from any current or former employer or client of either founder, that no third party asserts or holds any claim to intellectual property comprising the Business.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Delivery of a complete list of every person who has contributed code, design or content to the Business, together with an executed intellectual property assignment from each such person, including any contributor engaged in Colombia.</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Transfer at closing of the upgrade authority for every deployed on-chain program to keys generated and controlled by the Purchaser, and delivery of the complete wallet inventory contemplated by item D10.</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Delivery of complete user and transaction data since launch in raw exportable form, distinguishing production activity from test, internal and founder activity, and distinguishing unique users from unique wallet addresses.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Confirmation of the Company’s Form 1120 and Form 5472 filing position for each year since incorporation, with any penalty exposure quantified.</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Delivery of a certificate of good standing from the Delaware Secretary of State dated within thirty days of closing, and completion by BIGG of lien, litigation and judgment searches on satisfactory terms.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Adoption by the Company of all board and stockholder resolutions required to authorise the sale of the Purchased Assets, including any ratifying resolutions necessary to validate prior share issuances.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Completion of background checks on both founders, each founder having consented.</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Execution by each founder of a consulting agreement with the Purchaser on terms satisfactory to the Purchaser, as contemplated by Section 6.</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Negotiation and execution of a definitive asset purchase agreement containing representations, warranties, covenants and indemnities customary for a transaction of this nature, and approval of the Transaction by the board of directors of BIGG.</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76" w:lineRule="auto"/>
        <w:ind w:left="604" w:right="0" w:hanging="403"/>
        <w:jc w:val="left"/>
        <w:rPr>
          <w:rFonts w:ascii="Arial" w:cs="Arial" w:eastAsia="Arial" w:hAnsi="Arial"/>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Acceptance of the Transaction by the TSX Venture Exchange, if required.</w:t>
      </w:r>
      <w:r w:rsidDel="00000000" w:rsidR="00000000" w:rsidRPr="00000000">
        <w:rPr>
          <w:rtl w:val="0"/>
        </w:rPr>
      </w:r>
    </w:p>
    <w:p w:rsidR="00000000" w:rsidDel="00000000" w:rsidP="00000000" w:rsidRDefault="00000000" w:rsidRPr="00000000" w14:paraId="00000037">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8.  Due Diligence</w:t>
      </w:r>
      <w:r w:rsidDel="00000000" w:rsidR="00000000" w:rsidRPr="00000000">
        <w:rPr>
          <w:rtl w:val="0"/>
        </w:rPr>
      </w:r>
    </w:p>
    <w:p w:rsidR="00000000" w:rsidDel="00000000" w:rsidP="00000000" w:rsidRDefault="00000000" w:rsidRPr="00000000" w14:paraId="00000038">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The Company will provide the Purchaser and its advisers with continued access to information, records, personnel and systems reasonably required to complete diligence, including read access to the code repositories for the purpose of an automated dependency and open-source licence review.</w:t>
      </w:r>
      <w:r w:rsidDel="00000000" w:rsidR="00000000" w:rsidRPr="00000000">
        <w:rPr>
          <w:rtl w:val="0"/>
        </w:rPr>
      </w:r>
    </w:p>
    <w:p w:rsidR="00000000" w:rsidDel="00000000" w:rsidP="00000000" w:rsidRDefault="00000000" w:rsidRPr="00000000" w14:paraId="00000039">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9.  Exclusivity</w:t>
      </w:r>
      <w:r w:rsidDel="00000000" w:rsidR="00000000" w:rsidRPr="00000000">
        <w:rPr>
          <w:rtl w:val="0"/>
        </w:rPr>
      </w:r>
    </w:p>
    <w:p w:rsidR="00000000" w:rsidDel="00000000" w:rsidP="00000000" w:rsidRDefault="00000000" w:rsidRPr="00000000" w14:paraId="0000003A">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From the date of your countersignature until the date that is forty-five days thereafter (the "Exclusivity Period"), neither the Company nor either founder will, directly or indirectly, solicit, initiate, encourage, entertain or continue any discussion or negotiation with any person other than BIGG concerning the sale of the Business or of any material part of the Purchased Assets, the sale or issuance of any equity in the Company, any merger or similar transaction, or the engagement of either founder by any competing acquirer. The Company will promptly notify BIGG of any approach received during the Exclusivity Period. This Section is binding.</w:t>
      </w:r>
      <w:r w:rsidDel="00000000" w:rsidR="00000000" w:rsidRPr="00000000">
        <w:rPr>
          <w:rtl w:val="0"/>
        </w:rPr>
      </w:r>
    </w:p>
    <w:p w:rsidR="00000000" w:rsidDel="00000000" w:rsidP="00000000" w:rsidRDefault="00000000" w:rsidRPr="00000000" w14:paraId="0000003B">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10.  Confidentiality</w:t>
      </w:r>
      <w:r w:rsidDel="00000000" w:rsidR="00000000" w:rsidRPr="00000000">
        <w:rPr>
          <w:rtl w:val="0"/>
        </w:rPr>
      </w:r>
    </w:p>
    <w:p w:rsidR="00000000" w:rsidDel="00000000" w:rsidP="00000000" w:rsidRDefault="00000000" w:rsidRPr="00000000" w14:paraId="0000003C">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The mutual non-disclosure agreement between RebelFi, Inc. and BIGG/Netcoins Inc. remains in force and applies to this letter, to its existence and terms, and to all information exchanged in connection with the Transaction. This Section is binding.</w:t>
      </w:r>
      <w:r w:rsidDel="00000000" w:rsidR="00000000" w:rsidRPr="00000000">
        <w:rPr>
          <w:rtl w:val="0"/>
        </w:rPr>
      </w:r>
    </w:p>
    <w:p w:rsidR="00000000" w:rsidDel="00000000" w:rsidP="00000000" w:rsidRDefault="00000000" w:rsidRPr="00000000" w14:paraId="0000003D">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11.  Public Disclosure</w:t>
      </w:r>
      <w:r w:rsidDel="00000000" w:rsidR="00000000" w:rsidRPr="00000000">
        <w:rPr>
          <w:rtl w:val="0"/>
        </w:rPr>
      </w:r>
    </w:p>
    <w:p w:rsidR="00000000" w:rsidDel="00000000" w:rsidP="00000000" w:rsidRDefault="00000000" w:rsidRPr="00000000" w14:paraId="0000003E">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BIGG is a reporting issuer listed on the TSX Venture Exchange and is subject to continuous disclosure obligations. BIGG will control the timing, form and content of any public announcement concerning the Transaction. Neither the Company nor either founder will make any public statement, disclosure or social media post concerning the Transaction without BIGG’s prior written consent. This Section is binding.</w:t>
      </w:r>
      <w:r w:rsidDel="00000000" w:rsidR="00000000" w:rsidRPr="00000000">
        <w:rPr>
          <w:rtl w:val="0"/>
        </w:rPr>
      </w:r>
    </w:p>
    <w:p w:rsidR="00000000" w:rsidDel="00000000" w:rsidP="00000000" w:rsidRDefault="00000000" w:rsidRPr="00000000" w14:paraId="0000003F">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12.  Expenses</w:t>
      </w:r>
      <w:r w:rsidDel="00000000" w:rsidR="00000000" w:rsidRPr="00000000">
        <w:rPr>
          <w:rtl w:val="0"/>
        </w:rPr>
      </w:r>
    </w:p>
    <w:p w:rsidR="00000000" w:rsidDel="00000000" w:rsidP="00000000" w:rsidRDefault="00000000" w:rsidRPr="00000000" w14:paraId="00000040">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Each party will bear its own costs in connection with the Transaction, whether or not it completes. This Section is binding.</w:t>
      </w:r>
      <w:r w:rsidDel="00000000" w:rsidR="00000000" w:rsidRPr="00000000">
        <w:rPr>
          <w:rtl w:val="0"/>
        </w:rPr>
      </w:r>
    </w:p>
    <w:p w:rsidR="00000000" w:rsidDel="00000000" w:rsidP="00000000" w:rsidRDefault="00000000" w:rsidRPr="00000000" w14:paraId="00000041">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13.  Non-Binding Effect</w:t>
      </w:r>
      <w:r w:rsidDel="00000000" w:rsidR="00000000" w:rsidRPr="00000000">
        <w:rPr>
          <w:rtl w:val="0"/>
        </w:rPr>
      </w:r>
    </w:p>
    <w:p w:rsidR="00000000" w:rsidDel="00000000" w:rsidP="00000000" w:rsidRDefault="00000000" w:rsidRPr="00000000" w14:paraId="00000042">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Other than Sections 9, 10, 11, 12, 13 and 14, this letter records an expression of intent only. It does not constitute an offer capable of acceptance, imposes no obligation to negotiate or to complete, and creates no legal relationship between the parties. Neither party will have any liability to the other in connection with the Transaction unless and until a definitive agreement is executed, and then only in accordance with its terms.</w:t>
      </w:r>
      <w:r w:rsidDel="00000000" w:rsidR="00000000" w:rsidRPr="00000000">
        <w:rPr>
          <w:rtl w:val="0"/>
        </w:rPr>
      </w:r>
    </w:p>
    <w:p w:rsidR="00000000" w:rsidDel="00000000" w:rsidP="00000000" w:rsidRDefault="00000000" w:rsidRPr="00000000" w14:paraId="00000043">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14.  Governing Law</w:t>
      </w:r>
      <w:r w:rsidDel="00000000" w:rsidR="00000000" w:rsidRPr="00000000">
        <w:rPr>
          <w:rtl w:val="0"/>
        </w:rPr>
      </w:r>
    </w:p>
    <w:p w:rsidR="00000000" w:rsidDel="00000000" w:rsidP="00000000" w:rsidRDefault="00000000" w:rsidRPr="00000000" w14:paraId="00000044">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This letter is governed by the laws of the Province of British Columbia and the federal laws of Canada applicable therein, and the parties attorn to the non-exclusive jurisdiction of the courts of that province. This Section is binding.</w:t>
      </w:r>
      <w:r w:rsidDel="00000000" w:rsidR="00000000" w:rsidRPr="00000000">
        <w:rPr>
          <w:rtl w:val="0"/>
        </w:rPr>
      </w:r>
    </w:p>
    <w:p w:rsidR="00000000" w:rsidDel="00000000" w:rsidP="00000000" w:rsidRDefault="00000000" w:rsidRPr="00000000" w14:paraId="00000045">
      <w:pPr>
        <w:pStyle w:val="Heading2"/>
        <w:spacing w:after="140" w:before="28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15.  Acceptance</w:t>
      </w:r>
      <w:r w:rsidDel="00000000" w:rsidR="00000000" w:rsidRPr="00000000">
        <w:rPr>
          <w:rtl w:val="0"/>
        </w:rPr>
      </w:r>
    </w:p>
    <w:p w:rsidR="00000000" w:rsidDel="00000000" w:rsidP="00000000" w:rsidRDefault="00000000" w:rsidRPr="00000000" w14:paraId="00000046">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If the foregoing reflects your understanding, please sign and return a copy of this letter by 5:00 p.m. </w:t>
      </w:r>
      <w:r w:rsidDel="00000000" w:rsidR="00000000" w:rsidRPr="00000000">
        <w:rPr>
          <w:rFonts w:ascii="Arial" w:cs="Arial" w:eastAsia="Arial" w:hAnsi="Arial"/>
          <w:rtl w:val="0"/>
        </w:rPr>
        <w:t xml:space="preserve">Eastern Standard T</w:t>
      </w:r>
      <w:r w:rsidDel="00000000" w:rsidR="00000000" w:rsidRPr="00000000">
        <w:rPr>
          <w:rFonts w:ascii="Arial" w:cs="Arial" w:eastAsia="Arial" w:hAnsi="Arial"/>
          <w:color w:val="000000"/>
          <w:rtl w:val="0"/>
        </w:rPr>
        <w:t xml:space="preserve">ime on 1</w:t>
      </w:r>
      <w:r w:rsidDel="00000000" w:rsidR="00000000" w:rsidRPr="00000000">
        <w:rPr>
          <w:rFonts w:ascii="Arial" w:cs="Arial" w:eastAsia="Arial" w:hAnsi="Arial"/>
          <w:rtl w:val="0"/>
        </w:rPr>
        <w:t xml:space="preserve">9</w:t>
      </w:r>
      <w:r w:rsidDel="00000000" w:rsidR="00000000" w:rsidRPr="00000000">
        <w:rPr>
          <w:rFonts w:ascii="Arial" w:cs="Arial" w:eastAsia="Arial" w:hAnsi="Arial"/>
          <w:color w:val="000000"/>
          <w:rtl w:val="0"/>
        </w:rPr>
        <w:t xml:space="preserve"> August 2026, after which this letter lapses unless extended in writing.</w:t>
      </w:r>
      <w:r w:rsidDel="00000000" w:rsidR="00000000" w:rsidRPr="00000000">
        <w:rPr>
          <w:rtl w:val="0"/>
        </w:rPr>
      </w:r>
    </w:p>
    <w:p w:rsidR="00000000" w:rsidDel="00000000" w:rsidP="00000000" w:rsidRDefault="00000000" w:rsidRPr="00000000" w14:paraId="00000047">
      <w:pPr>
        <w:spacing w:after="160" w:line="276" w:lineRule="auto"/>
        <w:rPr>
          <w:rFonts w:ascii="Arial" w:cs="Arial" w:eastAsia="Arial" w:hAnsi="Arial"/>
        </w:rPr>
      </w:pPr>
      <w:r w:rsidDel="00000000" w:rsidR="00000000" w:rsidRPr="00000000">
        <w:rPr>
          <w:rFonts w:ascii="Arial" w:cs="Arial" w:eastAsia="Arial" w:hAnsi="Arial"/>
          <w:color w:val="000000"/>
          <w:rtl w:val="0"/>
        </w:rPr>
        <w:t xml:space="preserve">We are ready to move quickly. The conditions in Section 7 are not obstacles we have invented; they are the open items on your own diligence responses, and most of them close with a single email from Simon. If those come back promptly we see no reason a definitive agreement cannot be signed within the exclusivity period.</w:t>
      </w:r>
      <w:r w:rsidDel="00000000" w:rsidR="00000000" w:rsidRPr="00000000">
        <w:rPr>
          <w:rtl w:val="0"/>
        </w:rPr>
      </w:r>
    </w:p>
    <w:p w:rsidR="00000000" w:rsidDel="00000000" w:rsidP="00000000" w:rsidRDefault="00000000" w:rsidRPr="00000000" w14:paraId="00000048">
      <w:pPr>
        <w:spacing w:after="4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after="40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Yours sincerely,</w:t>
      </w:r>
    </w:p>
    <w:p w:rsidR="00000000" w:rsidDel="00000000" w:rsidP="00000000" w:rsidRDefault="00000000" w:rsidRPr="00000000" w14:paraId="0000004A">
      <w:pPr>
        <w:spacing w:after="4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60" w:line="276" w:lineRule="auto"/>
        <w:rPr>
          <w:rFonts w:ascii="Arial" w:cs="Arial" w:eastAsia="Arial" w:hAnsi="Arial"/>
        </w:rPr>
      </w:pPr>
      <w:r w:rsidDel="00000000" w:rsidR="00000000" w:rsidRPr="00000000">
        <w:rPr>
          <w:rFonts w:ascii="Arial" w:cs="Arial" w:eastAsia="Arial" w:hAnsi="Arial"/>
          <w:color w:val="000000"/>
          <w:rtl w:val="0"/>
        </w:rPr>
        <w:t xml:space="preserve">___________________________________</w:t>
      </w:r>
      <w:r w:rsidDel="00000000" w:rsidR="00000000" w:rsidRPr="00000000">
        <w:rPr>
          <w:rtl w:val="0"/>
        </w:rPr>
      </w:r>
    </w:p>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b w:val="1"/>
          <w:bCs w:val="1"/>
          <w:color w:val="000000"/>
          <w:rtl w:val="0"/>
        </w:rPr>
        <w:t xml:space="preserve">Fraser Matthews</w:t>
      </w:r>
      <w:r w:rsidDel="00000000" w:rsidR="00000000" w:rsidRPr="00000000">
        <w:rPr>
          <w:rtl w:val="0"/>
        </w:rPr>
      </w:r>
    </w:p>
    <w:p w:rsidR="00000000" w:rsidDel="00000000" w:rsidP="00000000" w:rsidRDefault="00000000" w:rsidRPr="00000000" w14:paraId="0000004D">
      <w:pPr>
        <w:spacing w:after="20" w:line="276" w:lineRule="auto"/>
        <w:rPr>
          <w:rFonts w:ascii="Arial" w:cs="Arial" w:eastAsia="Arial" w:hAnsi="Arial"/>
        </w:rPr>
      </w:pPr>
      <w:r w:rsidDel="00000000" w:rsidR="00000000" w:rsidRPr="00000000">
        <w:rPr>
          <w:rFonts w:ascii="Arial" w:cs="Arial" w:eastAsia="Arial" w:hAnsi="Arial"/>
          <w:color w:val="000000"/>
          <w:rtl w:val="0"/>
        </w:rPr>
        <w:t xml:space="preserve">Chief Executive Officer</w:t>
      </w:r>
      <w:r w:rsidDel="00000000" w:rsidR="00000000" w:rsidRPr="00000000">
        <w:rPr>
          <w:rtl w:val="0"/>
        </w:rPr>
      </w:r>
    </w:p>
    <w:p w:rsidR="00000000" w:rsidDel="00000000" w:rsidP="00000000" w:rsidRDefault="00000000" w:rsidRPr="00000000" w14:paraId="0000004E">
      <w:pPr>
        <w:spacing w:after="360" w:line="276" w:lineRule="auto"/>
        <w:rPr>
          <w:rFonts w:ascii="Arial" w:cs="Arial" w:eastAsia="Arial" w:hAnsi="Arial"/>
        </w:rPr>
      </w:pPr>
      <w:r w:rsidDel="00000000" w:rsidR="00000000" w:rsidRPr="00000000">
        <w:rPr>
          <w:rFonts w:ascii="Arial" w:cs="Arial" w:eastAsia="Arial" w:hAnsi="Arial"/>
          <w:color w:val="000000"/>
          <w:rtl w:val="0"/>
        </w:rPr>
        <w:t xml:space="preserve">BIGG Digital Assets Inc.</w:t>
      </w:r>
      <w:r w:rsidDel="00000000" w:rsidR="00000000" w:rsidRPr="00000000">
        <w:rPr>
          <w:rtl w:val="0"/>
        </w:rPr>
      </w:r>
    </w:p>
    <w:p w:rsidR="00000000" w:rsidDel="00000000" w:rsidP="00000000" w:rsidRDefault="00000000" w:rsidRPr="00000000" w14:paraId="0000004F">
      <w:pPr>
        <w:pBdr>
          <w:top w:color="bfbfbf" w:space="0" w:sz="6" w:val="single"/>
        </w:pBdr>
        <w:spacing w:after="200" w:before="200" w:lineRule="auto"/>
        <w:rPr>
          <w:rFonts w:ascii="Arial" w:cs="Arial" w:eastAsia="Arial" w:hAnsi="Arial"/>
        </w:rPr>
      </w:pPr>
      <w:r w:rsidDel="00000000" w:rsidR="00000000" w:rsidRPr="00000000">
        <w:rPr>
          <w:rtl w:val="0"/>
        </w:rPr>
      </w:r>
    </w:p>
    <w:p w:rsidR="00000000" w:rsidDel="00000000" w:rsidP="00000000" w:rsidRDefault="00000000" w:rsidRPr="00000000" w14:paraId="00000050">
      <w:pPr>
        <w:spacing w:after="300" w:line="276" w:lineRule="auto"/>
        <w:rPr>
          <w:rFonts w:ascii="Arial" w:cs="Arial" w:eastAsia="Arial" w:hAnsi="Arial"/>
        </w:rPr>
      </w:pPr>
      <w:r w:rsidDel="00000000" w:rsidR="00000000" w:rsidRPr="00000000">
        <w:rPr>
          <w:rFonts w:ascii="Arial" w:cs="Arial" w:eastAsia="Arial" w:hAnsi="Arial"/>
          <w:b w:val="1"/>
          <w:bCs w:val="1"/>
          <w:color w:val="000000"/>
          <w:rtl w:val="0"/>
        </w:rPr>
        <w:t xml:space="preserve">AGREED AND ACCEPTED as of the date written below, including for the binding provisions of Sections 9 through 14.</w:t>
      </w:r>
      <w:r w:rsidDel="00000000" w:rsidR="00000000" w:rsidRPr="00000000">
        <w:rPr>
          <w:rtl w:val="0"/>
        </w:rPr>
      </w:r>
    </w:p>
    <w:p w:rsidR="00000000" w:rsidDel="00000000" w:rsidP="00000000" w:rsidRDefault="00000000" w:rsidRPr="00000000" w14:paraId="00000051">
      <w:pPr>
        <w:spacing w:after="30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REBELFI, INC.</w:t>
      </w:r>
    </w:p>
    <w:p w:rsidR="00000000" w:rsidDel="00000000" w:rsidP="00000000" w:rsidRDefault="00000000" w:rsidRPr="00000000" w14:paraId="00000052">
      <w:pPr>
        <w:spacing w:after="30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after="60" w:line="276" w:lineRule="auto"/>
        <w:rPr>
          <w:rFonts w:ascii="Arial" w:cs="Arial" w:eastAsia="Arial" w:hAnsi="Arial"/>
        </w:rPr>
      </w:pPr>
      <w:r w:rsidDel="00000000" w:rsidR="00000000" w:rsidRPr="00000000">
        <w:rPr>
          <w:rFonts w:ascii="Arial" w:cs="Arial" w:eastAsia="Arial" w:hAnsi="Arial"/>
          <w:color w:val="000000"/>
          <w:rtl w:val="0"/>
        </w:rPr>
        <w:t xml:space="preserve">___________________________________          ___________________________________</w:t>
      </w:r>
      <w:r w:rsidDel="00000000" w:rsidR="00000000" w:rsidRPr="00000000">
        <w:rPr>
          <w:rtl w:val="0"/>
        </w:rPr>
      </w:r>
    </w:p>
    <w:p w:rsidR="00000000" w:rsidDel="00000000" w:rsidP="00000000" w:rsidRDefault="00000000" w:rsidRPr="00000000" w14:paraId="00000054">
      <w:pPr>
        <w:spacing w:after="2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Aleksandar Perak, Co-Founder            </w:t>
        <w:tab/>
        <w:t xml:space="preserve">           Simon Pettibone, Co-Founder</w:t>
      </w:r>
    </w:p>
    <w:p w:rsidR="00000000" w:rsidDel="00000000" w:rsidP="00000000" w:rsidRDefault="00000000" w:rsidRPr="00000000" w14:paraId="00000055">
      <w:pPr>
        <w:spacing w:after="26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6">
      <w:pPr>
        <w:spacing w:after="0" w:line="276" w:lineRule="auto"/>
        <w:rPr>
          <w:rFonts w:ascii="Arial" w:cs="Arial" w:eastAsia="Arial" w:hAnsi="Arial"/>
        </w:rPr>
      </w:pPr>
      <w:r w:rsidDel="00000000" w:rsidR="00000000" w:rsidRPr="00000000">
        <w:rPr>
          <w:rFonts w:ascii="Arial" w:cs="Arial" w:eastAsia="Arial" w:hAnsi="Arial"/>
          <w:color w:val="000000"/>
          <w:rtl w:val="0"/>
        </w:rPr>
        <w:t xml:space="preserve">Date:  ______________________________          Date:  ______________________________</w:t>
      </w:r>
      <w:r w:rsidDel="00000000" w:rsidR="00000000" w:rsidRPr="00000000">
        <w:rPr>
          <w:rtl w:val="0"/>
        </w:rPr>
      </w:r>
    </w:p>
    <w:sectPr>
      <w:headerReference r:id="rId6" w:type="default"/>
      <w:footerReference r:id="rId7"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BIGG Digital Assets Inc.</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ind w:left="8640" w:firstLine="0"/>
      <w:rPr/>
    </w:pPr>
    <w:r w:rsidDel="00000000" w:rsidR="00000000" w:rsidRPr="00000000">
      <w:rPr/>
      <w:drawing>
        <wp:inline distB="114300" distT="114300" distL="114300" distR="114300">
          <wp:extent cx="822781" cy="33623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2781" cy="3362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604" w:hanging="403"/>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