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SURGE DIGITAL INC.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Vancouver, British Columbia, Canada  ·  TSX-V: SRGE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August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PRIVATE AND CONFIDENTIAL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RebelFi, Inc.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Attention: Aleksandar Perak and Simon Pettibone, Co-Founders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120" w:lineRule="auto"/>
        <w:jc w:val="both"/>
        <w:rPr>
          <w:b w:val="1"/>
          <w:bCs w:val="1"/>
        </w:rPr>
      </w:pPr>
      <w:r w:rsidDel="00000000" w:rsidR="00000000" w:rsidRPr="00000000">
        <w:rPr>
          <w:b w:val="1"/>
          <w:bCs w:val="1"/>
          <w:rtl w:val="0"/>
        </w:rPr>
        <w:t xml:space="preserve">Re:  </w:t>
        <w:tab/>
        <w:t xml:space="preserve">Non-Binding Letter of Intent -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0" w:lineRule="auto"/>
        <w:ind w:firstLine="720"/>
        <w:jc w:val="both"/>
        <w:rPr>
          <w:b w:val="1"/>
          <w:bCs w:val="1"/>
        </w:rPr>
      </w:pPr>
      <w:r w:rsidDel="00000000" w:rsidR="00000000" w:rsidRPr="00000000">
        <w:rPr>
          <w:b w:val="1"/>
          <w:bCs w:val="1"/>
          <w:rtl w:val="0"/>
        </w:rPr>
        <w:t xml:space="preserve">Proposed Acquisition of RebelFi, Inc. (the “Transaction”)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letter supersedes our letters of 14 August 2026, 20 August 2026 and 22 August 2026 and sets out the non-binding indicative terms on which Surge Digital Inc. (“Surge”) proposes to acquire RebelFi, Inc. (the “Company”).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Surge understands that it is acquiring technology capability, not revenue. The value is in the product, the on-chain infrastructure, and the engaged founder(s) (the “Business”). Except for Sections 9, 10, 11, 12, 13 and 15 (the “Binding Provisions”), which are intended to be legally binding, this letter is not binding on either party and creates no obligation to complete the Transaction.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1.  Parties and Transaction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Surge Digital, or a wholly owned subsidiary of Surge, (the “Purchaser”), proposes to acquire all of the issued and outstanding shares of the Company, together with the continued engagement of the founders to support the integration and transition of the Business following closing, on the terms contemplated in Section 6 and Schedule A. The nature, scope and duration of each founder’s engagement will be determined based on the integration plan and the ongoing needs of the Business and the Purchaser. On completion, the Company will be a wholly-owned subsidiary of the Purchaser and will continue to operate the RebelFi Business.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clarity, the Purchaser will not be Netcoins Inc., and nothing in the Transaction contemplates the deployment of any acquired product to Netcoins clients prior to receipt of the regulatory advice described in Section 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2.  Structure</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It is contemplated that the Transaction will take place by way of a share purchase, a merger effected under the Delaware General Corporation Law (including a reverse triangular merger), or such other similar structure as the parties may agree, made in accordance with applicable corporate and securities legislation, with the final structure for the Transaction to be determined on the basis of securities, tax and corporate law considerations.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br w:type="textWrapping"/>
        <w:t xml:space="preserve">Closing of the Transaction is conditional on the acquisition of 100% of the Company’s issued and outstanding shares. Each option, warrant, convertible instrument, simple agreement for future equity or any other right to acquire shares shall be converted and/or irrevocably terminated before or at closing.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Under the proposed Transaction, the purchased shares carry the Company’s history - the corporate record, the tax filing position, the basis on which contractors and other personnel have been engaged (including work performed in Colombia and Argentina), and every obligation entered into since incorporation. That history moves into a group that includes a registrant regulated by the Canadian Securities Administrators. Your diligence responses confirm that no board or stockholder resolutions, consents or minutes have been maintained since inception. Founder stock purchase agreements have since been produced in the data room; the issuance record still lacks contemporaneous board and stockholder authorization. Because Surge is contemplating taking title to shares whose issuance must be capable of being evidenced, that record must be cured before closing rather than indemnified after closing (see Section 7.3).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structure is accordingly offered on the basis that (i) the conditions in Section 7 are satisfied in full; (ii) the execution by the parties of a binding agreement (the “Definitive Agreement”), subject to approval of the holders of the Company’s shares, that shall contain, amongst other things, specific indemnities in respect of pre-closing taxes, pre-closing regulatory matters, title to intellectual property and the engagement of contractors and other personnel (including in any jurisdiction in which work has been performed), each surviving closing and standing outside the general indemnity cap; and (iii) the base consideration reflects the remediation cost and tax reserve the Purchaser assumes.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3.  The Business and its Assets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Definitive Agreement will contain representations and warranties that the Company owns, free and clear of all liens, claims and encumbrances, and that the following will be within the Company at closing: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All source code, repositories, build systems, documentation and technical designs comprising the RebelFi product, together with the complete commit and version history.</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The complete source of every on-chain program forming part of the RebelFi product, in a form capable of redeployment. The Company has confirmed that all on-chain programs have been closed. The Definitive Agreement will accordingly schedule every program that has been deployed, its program ID, the dates on which it was deployed and closed, and the upgrade authority that held it (including, without limitation, Solana program HANDu9uNdnraNbcueGfXhd3UPu6BXfQroKAsSxFhPXEQ and the authority zcutLS4WE84Q6DHPnDCYJKmQ9J3ECBUeyP3jL1HRbdR, which is not on the D10 wallet inventory), together with a representation that no program remains deployed and that no other program or upgrade authority exists. The keys to any upgrade authority that does survive will be transferred to or regenerated under the control of the Purchaser at closing.</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All wallets and addresses controlled by or on behalf of the Company in connection with the Business, and the keys to each.</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The rebelfi.io domain and any other domains, the RebelFi name and brand, the Midas name and brand and any other name under which the product has been developed, operated or documented, and all social media handles and accounts. Domains presently registered in a founder’s personal Namecheap account will be transferred into the Company before closing.</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Counterparty paper, scheduled and not represented as a live customer book: (A) production tenant: Rampa; (B) signed commercial agreements that are not generating revenue and that are terminable on 30 days’ notice: Whizpay, Remitrix; (C) expired or expiring pilots: Malio, Rolla Finance; (D) NDAs only, with no commercial commitment: KTI (Ajaib) and PDAX. Change-of-control consent only where a scheduled agreement actually requires it.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jc w:val="both"/>
        <w:rPr/>
      </w:pPr>
      <w:r w:rsidDel="00000000" w:rsidR="00000000" w:rsidRPr="00000000">
        <w:rPr>
          <w:rtl w:val="0"/>
        </w:rPr>
        <w:t xml:space="preserve">All third-party integration rights and accounts, including Circle CCTP, RPC and infrastructure providers, screening and monitoring vendors, and hosting.</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rPr/>
      </w:pPr>
      <w:r w:rsidDel="00000000" w:rsidR="00000000" w:rsidRPr="00000000">
        <w:rPr>
          <w:rtl w:val="0"/>
        </w:rPr>
        <w:t xml:space="preserve">All administrative accounts, cloud accounts, API keys and key management systems used in the Business, migrated before closing off any personal or third-party identity (including simon@quintel.ai) onto a company-controlled identity.</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before="60" w:lineRule="auto"/>
        <w:ind w:left="600" w:hanging="360"/>
        <w:rPr/>
      </w:pPr>
      <w:r w:rsidDel="00000000" w:rsidR="00000000" w:rsidRPr="00000000">
        <w:rPr>
          <w:rtl w:val="0"/>
        </w:rPr>
        <w:t xml:space="preserve">All user, transaction and operational data of the Business, in raw exportable form.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Any asset used in the Business that is held personally by a founder, by a contractor, or by any entity other than the Company will be transferred into the Company before closing, and identified to the Purchaser in writing as having been so transferred.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4.  Liabilities, Remediation and Indemnities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Because the Purchaser is acquiring the Company rather than selected assets, all liabilities of the Company - known and unknown, accrued and contingent - remain with the Company and pass with it. The following therefore replaces the excluded-liabilities approach in our previous letter: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 </w:t>
      </w:r>
      <w:r w:rsidDel="00000000" w:rsidR="00000000" w:rsidRPr="00000000">
        <w:rPr>
          <w:b w:val="1"/>
          <w:bCs w:val="1"/>
          <w:rtl w:val="0"/>
        </w:rPr>
        <w:t xml:space="preserve">Cured before closing.</w:t>
      </w:r>
      <w:r w:rsidDel="00000000" w:rsidR="00000000" w:rsidRPr="00000000">
        <w:rPr>
          <w:rtl w:val="0"/>
        </w:rPr>
        <w:t xml:space="preserve"> The corporate record, the federal filing position, the founder loan and accrued compensation position, and the contractor and vendor position are each to be brought into order before closing as set out in Section 7. These are not indemnity items.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 </w:t>
      </w:r>
      <w:r w:rsidDel="00000000" w:rsidR="00000000" w:rsidRPr="00000000">
        <w:rPr>
          <w:b w:val="1"/>
          <w:bCs w:val="1"/>
          <w:rtl w:val="0"/>
        </w:rPr>
        <w:t xml:space="preserve">Quantified and set off.</w:t>
      </w:r>
      <w:r w:rsidDel="00000000" w:rsidR="00000000" w:rsidRPr="00000000">
        <w:rPr>
          <w:rtl w:val="0"/>
        </w:rPr>
        <w:t xml:space="preserve"> Any penalty or remediation cost identified before closing and not settled by the Company will reduce the closing tranche dollar for dollar. An item dealt with under this Section 4.2 may not also be recovered under Section 4.3.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w:t>
      </w:r>
      <w:r w:rsidDel="00000000" w:rsidR="00000000" w:rsidRPr="00000000">
        <w:rPr>
          <w:b w:val="1"/>
          <w:bCs w:val="1"/>
          <w:rtl w:val="0"/>
        </w:rPr>
        <w:t xml:space="preserve">Specific indemnities.</w:t>
      </w:r>
      <w:r w:rsidDel="00000000" w:rsidR="00000000" w:rsidRPr="00000000">
        <w:rPr>
          <w:rtl w:val="0"/>
        </w:rPr>
        <w:t xml:space="preserve"> The Definitive Agreement will contain specific indemnities from the founders in respect of pre-closing taxes (including any exposure arising from unfiled or late-filed Form 1120 returns or Delaware franchise tax filings), pre-closing regulatory matters, title to intellectual property, and any liability arising from the engagement of contractors and other personnel (including work performed in Colombia or Argentina, and any contractor paid personally by a founder).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 </w:t>
      </w:r>
      <w:r w:rsidDel="00000000" w:rsidR="00000000" w:rsidRPr="00000000">
        <w:rPr>
          <w:b w:val="1"/>
          <w:bCs w:val="1"/>
          <w:rtl w:val="0"/>
        </w:rPr>
        <w:t xml:space="preserve">Limitations.</w:t>
      </w:r>
      <w:r w:rsidDel="00000000" w:rsidR="00000000" w:rsidRPr="00000000">
        <w:rPr>
          <w:rtl w:val="0"/>
        </w:rPr>
        <w:t xml:space="preserve"> The liability of each founder will be several and not joint, and limited to his own representations, actions and proceeds. Each founder’s aggregate liability under the Definitive Agreement will be capped at the value of the Consideration he actually receives, save in the case of that founder’s fraud. The general representations and warranties will survive closing for twelve months. Of the specific indemnities in Section 4.3, those relating to pre-closing taxes will survive until sixty days after expiry of the applicable statutory limitation period, those relating to the engagement of contractors and other personnel will survive for thirty-six months, and the remainder will survive for eighteen months. The specific indemnities are not subject to the general cap or basket. No single item may be recovered more than once across Sections 4.1, 4.2 and 4.3.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 </w:t>
      </w:r>
      <w:r w:rsidDel="00000000" w:rsidR="00000000" w:rsidRPr="00000000">
        <w:rPr>
          <w:b w:val="1"/>
          <w:bCs w:val="1"/>
          <w:rtl w:val="0"/>
        </w:rPr>
        <w:t xml:space="preserve">Security.</w:t>
      </w:r>
      <w:r w:rsidDel="00000000" w:rsidR="00000000" w:rsidRPr="00000000">
        <w:rPr>
          <w:rtl w:val="0"/>
        </w:rPr>
        <w:t xml:space="preserve"> Recovery under Section 4.3 will be secured by setoff against the integration milestone tranche and the earn-out in accordance with Section 5. The Purchaser does not require an escrow of shares issued at closing, on the basis that the deferred Consideration provides sufficient security.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5.  Consideration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total consideration for the Transaction (the "Consideration") is up to CAD$700,000, payable in the tranches set out below. The Closing tranche will be satisfied in Surge common shares.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Each subsequent tranche, the integration milestone tranche and each component of the earn-out, may be satisfied by Surge, in its sole discretion, in Surge common shares, in cash, or in any combination of the two. Surge will notify the Company of its election not less than ten business days before the relevant issuance or payment date, and absent such notice the tranche will be satisfied in Surge common shares. Where a tranche is satisfied in whole or in part in Surge common shares, those shares will be issued on the mechanics set out under "Share issuance mechanics" below; where satisfied in cash, the corresponding CAD amount will be paid; </w:t>
      </w:r>
      <w:r w:rsidDel="00000000" w:rsidR="00000000" w:rsidRPr="00000000">
        <w:rPr>
          <w:highlight w:val="yellow"/>
          <w:rtl w:val="0"/>
        </w:rPr>
        <w:t xml:space="preserve">where satisfied by a combination of thereof the two, each portion will be satisfied in the manner applicable to it, with the share component issued on the mechanics set out under "Share issuance mechanics" below and the cash component paid in the corresponding CAD amount, such that the aggregate value satisfied equals the amount then due in respect of that tranche</w:t>
      </w:r>
      <w:r w:rsidDel="00000000" w:rsidR="00000000" w:rsidRPr="00000000">
        <w:rPr>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2520"/>
        <w:gridCol w:w="2310"/>
        <w:gridCol w:w="2655"/>
        <w:tblGridChange w:id="0">
          <w:tblGrid>
            <w:gridCol w:w="1875"/>
            <w:gridCol w:w="2520"/>
            <w:gridCol w:w="2310"/>
            <w:gridCol w:w="2655"/>
          </w:tblGrid>
        </w:tblGridChange>
      </w:tblGrid>
      <w:tr>
        <w:trPr>
          <w:cantSplit w:val="0"/>
          <w:tblHeader w:val="1"/>
        </w:trPr>
        <w:tc>
          <w:tcPr>
            <w:shd w:fill="000000"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color w:val="ffffff"/>
              </w:rPr>
            </w:pPr>
            <w:r w:rsidDel="00000000" w:rsidR="00000000" w:rsidRPr="00000000">
              <w:rPr>
                <w:b w:val="1"/>
                <w:bCs w:val="1"/>
                <w:color w:val="ffffff"/>
                <w:rtl w:val="0"/>
              </w:rPr>
              <w:t xml:space="preserve">Tranche</w:t>
            </w:r>
          </w:p>
        </w:tc>
        <w:tc>
          <w:tcPr>
            <w:shd w:fill="000000"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color w:val="ffffff"/>
              </w:rPr>
            </w:pPr>
            <w:r w:rsidDel="00000000" w:rsidR="00000000" w:rsidRPr="00000000">
              <w:rPr>
                <w:b w:val="1"/>
                <w:bCs w:val="1"/>
                <w:color w:val="ffffff"/>
                <w:rtl w:val="0"/>
              </w:rPr>
              <w:t xml:space="preserve">Amount</w:t>
            </w:r>
          </w:p>
        </w:tc>
        <w:tc>
          <w:tcPr>
            <w:shd w:fill="000000"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color w:val="ffffff"/>
              </w:rPr>
            </w:pPr>
            <w:r w:rsidDel="00000000" w:rsidR="00000000" w:rsidRPr="00000000">
              <w:rPr>
                <w:b w:val="1"/>
                <w:bCs w:val="1"/>
                <w:color w:val="ffffff"/>
                <w:rtl w:val="0"/>
              </w:rPr>
              <w:t xml:space="preserve">Form</w:t>
            </w:r>
          </w:p>
        </w:tc>
        <w:tc>
          <w:tcPr>
            <w:shd w:fill="000000"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color w:val="ffffff"/>
              </w:rPr>
            </w:pPr>
            <w:r w:rsidDel="00000000" w:rsidR="00000000" w:rsidRPr="00000000">
              <w:rPr>
                <w:b w:val="1"/>
                <w:bCs w:val="1"/>
                <w:color w:val="ffffff"/>
                <w:rtl w:val="0"/>
              </w:rPr>
              <w:t xml:space="preserve">Trigger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Closing</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CAD$100,000</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Surge common shares</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Completion of the Transaction.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Integration milestone</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CAD$200,000</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Surge common shares and/or cash, at Surge's election</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Certification by the Designated Representative </w:t>
            </w:r>
            <w:r w:rsidDel="00000000" w:rsidR="00000000" w:rsidRPr="00000000">
              <w:rPr>
                <w:highlight w:val="yellow"/>
                <w:rtl w:val="0"/>
              </w:rPr>
              <w:t xml:space="preserve">(as defined below)</w:t>
            </w:r>
            <w:r w:rsidDel="00000000" w:rsidR="00000000" w:rsidRPr="00000000">
              <w:rPr>
                <w:rtl w:val="0"/>
              </w:rPr>
              <w:t xml:space="preserve"> of the Purchaser that the integration milestone has been achieved, within six months of closing.</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Earn-out</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CAD$400,000</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Surge common shares and/or cash, at Surge's election</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Achievement of the earn-out components set out below, measured over the periods stated in each component.</w:t>
            </w:r>
          </w:p>
        </w:tc>
      </w:tr>
      <w:tr>
        <w:trPr>
          <w:cantSplit w:val="0"/>
          <w:tblHeader w:val="0"/>
        </w:trPr>
        <w:tc>
          <w:tcPr>
            <w:shd w:fill="f3f3f3"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w:t>
            </w:r>
          </w:p>
        </w:tc>
        <w:tc>
          <w:tcPr>
            <w:shd w:fill="f3f3f3"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 to CAD$700,000</w:t>
            </w:r>
          </w:p>
        </w:tc>
        <w:tc>
          <w:tcPr>
            <w:shd w:fill="f3f3f3" w:val="clear"/>
            <w:tcMar>
              <w:top w:w="60.0" w:type="dxa"/>
              <w:left w:w="60.0" w:type="dxa"/>
              <w:bottom w:w="60.0" w:type="dxa"/>
              <w:right w:w="6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f3f3f3" w:val="clear"/>
            <w:tcMar>
              <w:top w:w="60.0" w:type="dxa"/>
              <w:left w:w="60.0" w:type="dxa"/>
              <w:bottom w:w="60.0" w:type="dxa"/>
              <w:right w:w="6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Integration milestone.</w:t>
      </w:r>
      <w:r w:rsidDel="00000000" w:rsidR="00000000" w:rsidRPr="00000000">
        <w:rPr>
          <w:rtl w:val="0"/>
        </w:rPr>
        <w:t xml:space="preserve"> The milestone and its acceptance criteria will be set out in the integration and transition plan and in the Definitive Agreement, and will be objective. In general terms, the milestone is achieved when the RebelFi product has been deployed in an environment designated by the Purchaser, operating on infrastructure, accounts and keys controlled by the Purchaser; has passed the acceptance tests stated in that plan for functionality, security and operational stability; and the founder responsible for the technical workstream has delivered the runbooks and completed the transfer of the operational knowledge required for the Purchaser’s personnel to run and maintain it.</w:t>
      </w:r>
    </w:p>
    <w:p w:rsidR="00000000" w:rsidDel="00000000" w:rsidP="00000000" w:rsidRDefault="00000000" w:rsidRPr="00000000" w14:paraId="00000055">
      <w:pPr>
        <w:spacing w:after="240" w:before="240" w:lineRule="auto"/>
        <w:ind w:right="0"/>
        <w:jc w:val="both"/>
        <w:rPr/>
      </w:pPr>
      <w:r w:rsidDel="00000000" w:rsidR="00000000" w:rsidRPr="00000000">
        <w:rPr>
          <w:rtl w:val="0"/>
        </w:rPr>
        <w:t xml:space="preserve">The "Designated Representative" means the senior officer of the Purchaser designated by it from time to time as having responsibility for technology, or such other senior officer as the Purchaser may designate.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Acceptance mechanism.</w:t>
      </w:r>
      <w:r w:rsidDel="00000000" w:rsidR="00000000" w:rsidRPr="00000000">
        <w:rPr>
          <w:rtl w:val="0"/>
        </w:rPr>
        <w:t xml:space="preserve"> The Company will give the Purchaser written notice when it considers the milestone achieved. Within forty-five days of that notice, the Purchaser will either accept the milestone in writing or deliver a written list of specific deficiencies by reference to the acceptance criteria. If the Purchaser does neither within that period, the milestone is deemed accepted. Where deficiencies are notified, the Company may remedy them and give a further notice, and the same period and mechanism apply to each further notice.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Purchaser delay.</w:t>
      </w:r>
      <w:r w:rsidDel="00000000" w:rsidR="00000000" w:rsidRPr="00000000">
        <w:rPr>
          <w:rtl w:val="0"/>
        </w:rPr>
        <w:t xml:space="preserve"> The six-month milestone window extends day for day for any period of delay attributable to the Purchaser. If the Purchaser has not designated the deployment environment within one hundred and twenty days of closing, the founders’ obligations in respect of the milestone are suspended until it does so, and the Purchaser will at that time deposit the integration milestone tranche into escrow, to be released to the founders on achievement or deemed acceptance of the milestone or on the date that is eighteen months after closing, whichever is earlier. The Purchaser's election under this Section 5 will be made at the time of deposit.</w:t>
      </w:r>
    </w:p>
    <w:p w:rsidR="00000000" w:rsidDel="00000000" w:rsidP="00000000" w:rsidRDefault="00000000" w:rsidRPr="00000000" w14:paraId="00000059">
      <w:pPr>
        <w:spacing w:after="240" w:before="240" w:lineRule="auto"/>
        <w:ind w:left="0" w:right="0" w:firstLine="0"/>
        <w:jc w:val="both"/>
        <w:rPr/>
      </w:pPr>
      <w:r w:rsidDel="00000000" w:rsidR="00000000" w:rsidRPr="00000000">
        <w:rPr>
          <w:b w:val="1"/>
          <w:bCs w:val="1"/>
          <w:rtl w:val="0"/>
        </w:rPr>
        <w:t xml:space="preserve">Earn-out.</w:t>
      </w:r>
      <w:r w:rsidDel="00000000" w:rsidR="00000000" w:rsidRPr="00000000">
        <w:rPr>
          <w:rtl w:val="0"/>
        </w:rPr>
        <w:t xml:space="preserve"> To date the Company has not had the capital or the regulatory footprint required to take the product to revenue, and the on-chain programs comprising the product have been closed and will require redeployment. That is what the Purchaser brings, and the earn-out is the mechanism by which the founders share in the result. The earn-out is payable in the components set out below, in each case measured from closing and by reference to the RebelFi product as operated within the Purchaser's group.  </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(a)  Revenue, first period — </w:t>
      </w:r>
      <w:r w:rsidDel="00000000" w:rsidR="00000000" w:rsidRPr="00000000">
        <w:rPr>
          <w:rtl w:val="0"/>
        </w:rPr>
        <w:t xml:space="preserve">CAD$100,000, on cumulative Net Revenue of US$[50,000] being achieved within twelve months of closing.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(b)  Revenue, second period — </w:t>
      </w:r>
      <w:r w:rsidDel="00000000" w:rsidR="00000000" w:rsidRPr="00000000">
        <w:rPr>
          <w:rtl w:val="0"/>
        </w:rPr>
        <w:t xml:space="preserve">CAD$150,000, on cumulative Net Revenue of US$[250,000] being achieved within twenty-four months of closing, pro-rated on a straight-line basis where cumulative Net Revenue falls between US$[125,000] and US$[250,000].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(c)  Clients — </w:t>
      </w:r>
      <w:r w:rsidDel="00000000" w:rsidR="00000000" w:rsidRPr="00000000">
        <w:rPr>
          <w:rtl w:val="0"/>
        </w:rPr>
        <w:t xml:space="preserve">CAD$75,000, being CAD$15,000 for each of up to five clients contracted after closing that are live in production and have each generated at least US$[15,000] of Net Revenue within twenty-four months of closing.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(d)  Product — </w:t>
      </w:r>
      <w:r w:rsidDel="00000000" w:rsidR="00000000" w:rsidRPr="00000000">
        <w:rPr>
          <w:rtl w:val="0"/>
        </w:rPr>
        <w:t xml:space="preserve">CAD$75,000, on production release of each of the product roadmap items listed in the integration and transition plan, certified by the Designated Representative of the Purchaser, within eighteen months of closing.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Earn-out definitions and conduct.</w:t>
      </w:r>
      <w:r w:rsidDel="00000000" w:rsidR="00000000" w:rsidRPr="00000000">
        <w:rPr>
          <w:rtl w:val="0"/>
        </w:rPr>
        <w:t xml:space="preserve"> “Net Revenue” means revenue recognised by the Purchaser’s group from the RebelFi product, net of third-party protocol and network fees, refunds, chargebacks and taxes. Revenue counted toward component (a) also counts toward component (b). The Purchaser will report to the founders quarterly against each component and will not take any step for the principal purpose of avoiding achievement of a component. The earn-out is not forfeited by reason of the Purchaser terminating a founder’s engagement without cause.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Share issuance mechanics.</w:t>
      </w:r>
      <w:r w:rsidDel="00000000" w:rsidR="00000000" w:rsidRPr="00000000">
        <w:rPr>
          <w:rtl w:val="0"/>
        </w:rPr>
        <w:t xml:space="preserve"> Shares issued as Consideration (under this Section 5) will be priced at the greater of (i) the volume-weighted average trading price of Surge's common shares on the Exchange for the twenty (20) trading days ending three business days prior to the relevant issuance date, and (ii) the minimum price permitted under Exchange policy, with any fractional shares rounded down to the nearest whole number. All shares will be subject to a statutory four-month hold period under Canadian securities law, will be issued in reliance on available exemptions from registration under the United States Securities Act of 1933, and will bear restrictive legends accordingly. The Transaction and any share issuances are subject to the acceptance of regulatory authorities.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Setoff.</w:t>
      </w:r>
      <w:r w:rsidDel="00000000" w:rsidR="00000000" w:rsidRPr="00000000">
        <w:rPr>
          <w:rtl w:val="0"/>
        </w:rPr>
        <w:t xml:space="preserve"> The Purchaser may set off against the integration milestone tranche and/or the earn-out any amount owing to it under Section 4.3, but only in respect of amounts agreed in writing between the parties or finally determined, and will not withhold issuance of a tranche on the basis of an allegation alone. Any penalty or tax exposure quantified before closing and not settled will be held back from the closing tranche dollar for dollar under Section 4.2.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both"/>
        <w:rPr>
          <w:rFonts w:ascii="Roboto" w:cs="Roboto" w:eastAsia="Roboto" w:hAnsi="Roboto"/>
          <w:color w:val="444746"/>
          <w:sz w:val="21"/>
          <w:szCs w:val="21"/>
        </w:rPr>
      </w:pPr>
      <w:r w:rsidDel="00000000" w:rsidR="00000000" w:rsidRPr="00000000">
        <w:rPr>
          <w:rtl w:val="0"/>
        </w:rPr>
        <w:t xml:space="preserve">The Consideration reflects the Company’s current stage of development, including its pre-revenue status and limited commercial traction, as well as the value of the technology, counterparty relationships and founder expertise being acquired. It also takes into account the remediation costs and potential liabilities assumed by the Purchaser under a share purchase structure. The earn-out is included so that the value the Company attributes to the Business is measured against its performance under the Purchaser’s distribution rather than fixed in advance. If the Business performs as the Company expects, the full Consideration is paid.</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Founder Engagement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Roles.</w:t>
      </w:r>
      <w:r w:rsidDel="00000000" w:rsidR="00000000" w:rsidRPr="00000000">
        <w:rPr>
          <w:rtl w:val="0"/>
        </w:rPr>
        <w:t xml:space="preserve"> Aleksandar Perak and Simon Pettibone will continue to support the Business following closing, with their respective roles, responsibilities and level of involvement to be agreed as part of the integration and transition plan (the “Services”). It is anticipated, as set out in Schedule A, that Simon will primarily support technical, product and integration activities and Aleksandar will primarily support commercial, partner and regulatory activities. Each founder will report to the Chief Executive Officer of Surge or such other executive as Surge may designate from time to time.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Scope.</w:t>
      </w:r>
      <w:r w:rsidDel="00000000" w:rsidR="00000000" w:rsidRPr="00000000">
        <w:rPr>
          <w:rtl w:val="0"/>
        </w:rPr>
        <w:t xml:space="preserve"> Services will include support for the continued operation and development of the Business, integration into the Purchaser’s infrastructure, transition of operational knowledge and such other digital asset and payments infrastructure initiatives of the Purchaser and its affiliates as the parties may agree from time to time.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Integration and Transition Plan:</w:t>
      </w:r>
      <w:r w:rsidDel="00000000" w:rsidR="00000000" w:rsidRPr="00000000">
        <w:rPr>
          <w:rtl w:val="0"/>
        </w:rPr>
        <w:t xml:space="preserve"> The parties will agree on an integration and transition plan setting out the expected timeline, milestones, responsibilities and level of founder support required, and any other pertinent details, which shall be set out in the Definitive Agreement. The founders will provide technical, operational, commercial and knowledge-transfer support as reasonably required by the Purchaser for a period defined at the Purchaser's discretion following closing. The nature and level of support may vary during that period based on the integration plan and the ongoing needs of the Business and the Purchaser.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Commencement.</w:t>
      </w:r>
      <w:r w:rsidDel="00000000" w:rsidR="00000000" w:rsidRPr="00000000">
        <w:rPr>
          <w:rtl w:val="0"/>
        </w:rPr>
        <w:t xml:space="preserve"> Services will commence following closing, with each founder’s initial responsibilities and expected time commitment established through the integration and transition plan.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Term and commitment.</w:t>
      </w:r>
      <w:r w:rsidDel="00000000" w:rsidR="00000000" w:rsidRPr="00000000">
        <w:rPr>
          <w:rtl w:val="0"/>
        </w:rPr>
        <w:t xml:space="preserve"> Each founder’s engagement will continue at the Purchaser's discretion following closing, with the specific time commitment and any ongoing support requirements to be agreed based on the integration and transition plan. Any other current venture, employment or consulting arrangement, or potential conflict of interest must be disclosed before closing and must not materially interfere with the founder’s agreed responsibilities to the Business. There is no relocation requirement, and services may be provided remotely.</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Fees.</w:t>
      </w:r>
      <w:r w:rsidDel="00000000" w:rsidR="00000000" w:rsidRPr="00000000">
        <w:rPr>
          <w:rtl w:val="0"/>
        </w:rPr>
        <w:t xml:space="preserve"> The monthly fee payable to each engaged founder, and the commitment level to which it corresponds, are set out in Schedule A. Fees are payable in cash, monthly in arrears, and commence at closing. No fee, retainer or expense reimbursement is payable by the Purchaser to either founder or to the Company before closing, and the Purchaser gives no financial commitment in respect of any period before closing.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Effect of termination on Consideration.</w:t>
      </w:r>
      <w:r w:rsidDel="00000000" w:rsidR="00000000" w:rsidRPr="00000000">
        <w:rPr>
          <w:rtl w:val="0"/>
        </w:rPr>
        <w:t xml:space="preserve"> If the Purchaser terminates the engagement of the founder responsible for the technical workstream without cause before the integration milestone is achieved, that founder’s share of the integration milestone tranche vests and is issued within ten business days, pro-rated by reference to the proportion of the acceptance criteria then satisfied, as certified by the Purchaser acting reasonably. Termination for cause, or resignation by a founder, carries no such entitlement. The earn-out is unaffected by either event and remains payable on its terms.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Personal assignment.</w:t>
      </w:r>
      <w:r w:rsidDel="00000000" w:rsidR="00000000" w:rsidRPr="00000000">
        <w:rPr>
          <w:rtl w:val="0"/>
        </w:rPr>
        <w:t xml:space="preserve"> Each founder will also execute, in his personal capacity, an assignment to the Purchaser of all intellectual property relating to the Business, so that title does not depend solely on assignments made to or by the Company. Excluded from that assignment, and from any invention-assignment provision in a consulting agreement, are the assets identified on a schedule of excluded intellectual property to be agreed and dated on or before closing, in respect of which each founder will represent that no item on the schedule is incorporated in, or necessary to operate, the RebelFi product. Background intellectual property that is incorporated in the RebelFi product is assigned or, at the Purchaser’s election, licensed to the Purchaser on a perpetual, irrevocable, royalty-free basis.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Independence.</w:t>
      </w:r>
      <w:r w:rsidDel="00000000" w:rsidR="00000000" w:rsidRPr="00000000">
        <w:rPr>
          <w:rtl w:val="0"/>
        </w:rPr>
        <w:t xml:space="preserve"> Each founder’s arrangement is independent of the other’s. The departure or non-engagement of one does not affect the other's entitlements or obligations.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Schedule A.</w:t>
      </w:r>
      <w:r w:rsidDel="00000000" w:rsidR="00000000" w:rsidRPr="00000000">
        <w:rPr>
          <w:rtl w:val="0"/>
        </w:rPr>
        <w:t xml:space="preserve"> The founder engagement terms set out in Schedule A to this letter are incorporated into this Section 6 and will be carried into the consulting agreements. To the extent of any inconsistency between this Section 6 and Schedule A, Schedule A prevails.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7.  Conditions Precedent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Closing will be conditional on the following non-exhaustive list, each item of which is presently outstanding or unresolved: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 </w:t>
        <w:tab/>
        <w:t xml:space="preserve">Completion of the due diligence requirements set out by the Purchaser to its satisfaction, and receipt by the Purchaser of regulatory advice regarding the deployment of the acquired product within the Surge group.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2. </w:t>
        <w:tab/>
        <w:t xml:space="preserve">Delivery of a capitalization table certified by an officer of the Company, and evidence that 100% of the issued and outstanding shares will be acquired at closing and that every option, warrant, convertible instrument, simple agreement for future equity or any other right to acquire shares has been converted and/or irrevocably terminated.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3.  </w:t>
        <w:tab/>
        <w:t xml:space="preserve">Cure of the Company’s corporate record before closing, including adoption of ratifying board and stockholder resolutions validating every share issuance made since incorporation, and delivery of executed founder stock purchase agreements or, where originals cannot be located, reconstructed or replacement agreements together with evidence supporting them. Delivery of each founder’s filed election under section 83(b) of the Internal Revenue Code, together with evidence of timely mailing or Internal Revenue Service acknowledgement. (This is not an indemnity item.)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4. </w:t>
        <w:tab/>
        <w:t xml:space="preserve">Adoption by the Company of all board and stockholder resolutions required to authorize the sale of the shares and the Transaction, and delivery of written consents or waivers of any pre-emptive, first-refusal, co-sale or transfer-restriction rights.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5. </w:t>
        <w:tab/>
        <w:t xml:space="preserve">Delivery of the Company’s Form 1120 for each year since incorporation, including the return for the 2025 tax year filed before closing, together with the corresponding electronic filing acceptance confirmations. Delivery of Delaware franchise tax filings and payment confirmations for each year since incorporation, with any arrears settled before closing. Assessment of any state registration or filing obligation arising from work performed in Texas, and satisfaction of any such obligation before closing. The Purchaser accepts the Company’s confirmation that no Form 5472 was required, on the basis that each holder of the Company’s shares is a United States person.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6. </w:t>
        <w:tab/>
        <w:t xml:space="preserve">Written release at closing by each founder of all founder loans and all accrued or deferred founder compensation owing by the Company.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7. </w:t>
        <w:tab/>
        <w:t xml:space="preserve">Written confirmation from each founder, and where applicable from any current or former employer or client of either founder, that no third party asserts or holds any claim to intellectual property comprising the Business.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8.  </w:t>
        <w:tab/>
        <w:t xml:space="preserve">Delivery of a complete list of every person who has contributed code, design or content to the Business, together with an executed intellectual property assignment from each such person, in each case expressed to run in favour of the Company and to cover all work performed by that person from the date of his or her first contribution; and confirmation of the basis on which each such person has been engaged, together with resolution of any withholding or employment classification exposure arising from those arrangements (including any contributor engaged in Colombia or Argentina). In respect of the amounts paid personally by a founder to Manuel Andaluz between June 2024 and December 2025, determination before closing of whether those amounts constitute a capital contribution to the Company or a liability of the Company, with any liability released under Condition 6 and any capital contribution recorded in the corporate record cured under Condition 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9.  </w:t>
        <w:tab/>
        <w:t xml:space="preserve">Delivery of the schedule of on-chain programs contemplated by Section 3, together with a representation that it is exhaustive, and transfer at closing to keys generated and controlled by the Purchaser of the upgrade authority for any program that remains deployed. Delivery of a wallet inventory that identifies, for every wallet controlled by or on behalf of the Company, the individual who holds the keys to it — including each wallet recorded in item D10 as signed through a browser extension or hardware device, and each platform fee, gas sponsor and legacy wallet — together with a representation that the inventory is complete and includes any wallet not recorded in the Company’s platform database. Transfer at closing of the keys to each such wallet, or their regeneration under the control of the Purchaser.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10. </w:t>
        <w:tab/>
        <w:t xml:space="preserve">Delivery of complete user and transaction data since launch in raw exportable form, distinguishing production activity from test, internal and founder activity, and distinguishing unique users from unique wallet addresses.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11. </w:t>
        <w:tab/>
        <w:t xml:space="preserve">Delivery of a certificate of good standing from the Delaware Secretary of State dated within thirty days of closing, and completion by Surge of lien, litigation and judgment searches on satisfactory terms.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12. </w:t>
        <w:tab/>
        <w:t xml:space="preserve">Delivery of any change-of-control consent or notice required under a scheduled commercial agreement that actually requires it.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13. </w:t>
        <w:tab/>
        <w:t xml:space="preserve">Completion of background checks on both founders, each founder having consented.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14.  </w:t>
        <w:tab/>
        <w:t xml:space="preserve">Execution by each founder of a consulting agreement with the Purchaser consistent with Schedule A, as referenced under Section 6 above.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15. </w:t>
        <w:tab/>
        <w:t xml:space="preserve">Written disclosure by each founder of every other current venture, employment, or consulting arrangement (including Quintel), with time commitment; and migration of every administrative, Namecheap, GitHub, cloud, and key-management account off any personal or third-party identity onto a company-controlled identity.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16. </w:t>
        <w:tab/>
        <w:t xml:space="preserve">Execution and delivery of a definitive agreement containing amongst other things, representations, warranties, covenants, provisions and indemnities customary for a transaction of this nature.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17.</w:t>
        <w:tab/>
        <w:t xml:space="preserve">Approval of the Transaction by the board of directors of each of the Purchaser and Company.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80" w:lineRule="auto"/>
        <w:jc w:val="both"/>
        <w:rPr/>
      </w:pPr>
      <w:r w:rsidDel="00000000" w:rsidR="00000000" w:rsidRPr="00000000">
        <w:rPr>
          <w:rtl w:val="0"/>
        </w:rPr>
        <w:t xml:space="preserve">18.</w:t>
        <w:tab/>
        <w:t xml:space="preserve">Purchaser entering into voting agreements (the “Voting Agreements”) with (i) the directors and senior officers of the Company, and (ii) any shareholder who owns more than 5% of the Company’s shares, pursuant to which such persons will agree to vote their shares in favour of the Transaction.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19. </w:t>
        <w:tab/>
        <w:t xml:space="preserve">Acceptance of the Transaction by the requisite regulatory authorities, including the Exchange, as required.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Due Diligence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Company will provide the Purchaser and its advisers with continued access to information, records, personnel and systems reasonably required to complete diligence, including read access to the code repositories for the purpose of an automated dependency and open-source licence review.</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Exclusivity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Company acknowledges that the negotiations and due diligence investigation and review contemplated by this letter will involve the expenditure of substantial time and money by the Purchaser.  In consideration of that expenditure, from the date of the Company’s execution of this letter until that date that is forty-five days thereafter (the “Exclusivity Period”) unless terminated earlier pursuant to Section 10 below, neither the Company nor either founder will, directly or indirectly, solicit, initiate, encourage, entertain or continue any discussion or negotiation with any person other than Surge concerning the sale of the Business or of any material part of its assets, the sale or issuance of any equity in the Company, any merger or similar transaction, or the engagement of either founder by any competing acquirer. The Company will promptly notify Surge of any approach received during the Exclusivity Period.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parties will negotiate in good faith with a view to entering into the Definitive Agreement and the Voting Agreements on or before the end of the Exclusivity Period (as defined above), with a view to entering into the Definitive Agreement within 45 days after the execution of this letter. The Purchaser will deliver a first draft of the Definitive Agreement within thirty days after the later of (i) the execution of this letter and (ii) delivery by the Company of the items described in Conditions 2, 3 and 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Section is binding.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Termination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letter shall terminate on the day on which the earliest of the following events occurs: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t xml:space="preserve">at any time by written agreement by the Purchaser and the Company;</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t xml:space="preserve">at the option of the Purchaser by giving written notice to the Company to that effect, if its due diligence investigations are not satisfactory, in its sole discretion;</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t xml:space="preserve">at the option of the Company by giving written notice to the Purchaser to that effect, if the Purchaser has not delivered a first draft of the Definitive Agreement within the period described in Section 9, or if, by the end of the Exclusivity Period (and any agreed extension thereof), the parties have not executed or delivered the Definitive Agreement; and</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t xml:space="preserve">upon the execution and delivery of the Definitive Agreement;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Provided however, that the termination of this letter shall not affect the liability of a party for breach of any of the Binding Provisions (as defined above) prior to such termination.  Upon termination of this letter, the parties shall have no further obligations hereunder, except as stated in sections 9, 10, 11, 12, 13, and 15, which shall survive any such termination.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pPr>
      <w:r w:rsidDel="00000000" w:rsidR="00000000" w:rsidRPr="00000000">
        <w:rPr>
          <w:rtl w:val="0"/>
        </w:rPr>
        <w:t xml:space="preserve">If the Purchaser or RebelFi terminates this letter under paragraph 2 above other than by reason of a finding in its due diligence that has been described to the Company in writing, or other than by reason of a breach of this letter by the Company or either founder, the Terminating party will reimburse the other parties documented legal and accounting costs reasonably incurred in connection with the Transaction, up to a maximum of US$15,000. This Section is binding.</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Confidentiality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mutual non-disclosure agreement between RebelFi, Inc. and Surge/Netcoins Inc. remains in force and applies to this letter, to its existence and terms, and to all information exchanged in connection with the Transaction. This Section is binding.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Public Disclosure</w:t>
      </w:r>
    </w:p>
    <w:p w:rsidR="00000000" w:rsidDel="00000000" w:rsidP="00000000" w:rsidRDefault="00000000" w:rsidRPr="00000000" w14:paraId="000000B0">
      <w:pPr>
        <w:spacing w:after="240" w:before="0" w:lineRule="auto"/>
        <w:ind w:left="0" w:right="0" w:firstLine="0"/>
        <w:jc w:val="both"/>
        <w:rPr/>
      </w:pPr>
      <w:r w:rsidDel="00000000" w:rsidR="00000000" w:rsidRPr="00000000">
        <w:rPr>
          <w:rtl w:val="0"/>
        </w:rPr>
        <w:t xml:space="preserve">Surge is a reporting issuer listed on the TSX Venture Exchange and is subject to continuous disclosure obligations. Surge will control the timing, form and content of any public announcement concerning the Transaction. Neither the Company nor either founder will make any public statement, disclosure or social media post concerning the Transaction without Surge's prior written consent. This Section is binding.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  Expenses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Other than as may be set out in the Definitive Agreement, all costs and expenses, including legal fees and disbursements, incurred in connection with the negotiation and preparation of this letter, the Definitive Agreement, the Voting Agreements and the consummation of transactions contemplated hereby and thereby shall be borne by the party that incurred same regardless of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whether or not the Transaction closes. This Section is binding.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  Non-Binding Effect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Other than the Binding Provisions set out in Sections 9, 10, 11, 12, 13 and 15 of this letter, it is expressly understood and agreed that this letter is not intended to give rise to any legal obligations on either party.  It is an expression of intent only. It does not constitute an offer capable of acceptance, imposes no obligation to negotiate or to complete, and creates no legal relationship between the parties.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greater certainty, it is expressly understood and agreed that neither the Purchaser nor the Company is under any obligation to enter into, or continue negotiations regarding, the Definitive Agreement or to proceed with the proposed Transaction and that no binding agreement, other than pursuant to the Binding Provisions, will exist between the parties related to the proposed Transaction unless and until a mutually acceptable Definitive Agreement has been finalized and executed by the parties, and then only in accordance with its terms.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  Governing Law</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letter is governed by the laws of the Province of British Columbia and the federal laws of Canada applicable therein, and the parties attorn to the non-exclusive jurisdiction of the courts of that province. This Section is binding.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  Legal Effect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purpose of this letter is to record the mutual understandings of the parties.  It is understood that the proposed Transaction contemplated by this letter is subject to, among other things, the approval of the board of directors of each of the Purchaser and the Company, the execution of the Definitive Agreement and Voting Agreements, completion of due diligence, as well as shareholder approval and regulatory approval, as needed.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17.  Notice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notices or communications required or permitted hereunder will be in writing and will be effective when delivered by electronic communication (including email) as follows: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120" w:lineRule="auto"/>
        <w:ind w:left="0" w:firstLine="0"/>
        <w:rPr/>
      </w:pPr>
      <w:r w:rsidDel="00000000" w:rsidR="00000000" w:rsidRPr="00000000">
        <w:rPr>
          <w:rtl w:val="0"/>
        </w:rPr>
        <w:t xml:space="preserve">to the Purchaser at:</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Attention:  </w:t>
        <w:tab/>
        <w:t xml:space="preserve">Fraser Matthews, CEO Surge Digital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Email:</w:t>
        <w:tab/>
        <w:tab/>
        <w:t xml:space="preserve">fmatthews@gonetcoins.com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120" w:lineRule="auto"/>
        <w:ind w:left="0" w:firstLine="0"/>
        <w:rPr/>
      </w:pPr>
      <w:r w:rsidDel="00000000" w:rsidR="00000000" w:rsidRPr="00000000">
        <w:rPr>
          <w:rtl w:val="0"/>
        </w:rPr>
        <w:t xml:space="preserve">to the Company at:</w:t>
      </w:r>
      <w:r w:rsidDel="00000000" w:rsidR="00000000" w:rsidRPr="00000000">
        <w:rPr>
          <w:rtl w:val="0"/>
        </w:rPr>
      </w:r>
    </w:p>
    <w:p w:rsidR="00000000" w:rsidDel="00000000" w:rsidP="00000000" w:rsidRDefault="00000000" w:rsidRPr="00000000" w14:paraId="000000C8">
      <w:pPr>
        <w:ind w:left="720" w:firstLine="0"/>
        <w:rPr>
          <w:highlight w:val="yellow"/>
        </w:rPr>
      </w:pPr>
      <w:r w:rsidDel="00000000" w:rsidR="00000000" w:rsidRPr="00000000">
        <w:rPr>
          <w:highlight w:val="yellow"/>
          <w:rtl w:val="0"/>
        </w:rPr>
        <w:t xml:space="preserve">Attention:  </w:t>
        <w:tab/>
        <w:t xml:space="preserve">XXXXX, XXX</w:t>
      </w:r>
    </w:p>
    <w:p w:rsidR="00000000" w:rsidDel="00000000" w:rsidP="00000000" w:rsidRDefault="00000000" w:rsidRPr="00000000" w14:paraId="000000C9">
      <w:pPr>
        <w:ind w:left="720" w:firstLine="0"/>
        <w:rPr>
          <w:highlight w:val="yellow"/>
        </w:rPr>
      </w:pPr>
      <w:r w:rsidDel="00000000" w:rsidR="00000000" w:rsidRPr="00000000">
        <w:rPr>
          <w:highlight w:val="yellow"/>
          <w:rtl w:val="0"/>
        </w:rPr>
        <w:t xml:space="preserve">Email:</w:t>
        <w:tab/>
        <w:tab/>
        <w:t xml:space="preserve">XXXXX</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  Counterparts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letter may be executed in one or more counterparts, each of which will be deemed to be an original, but all of which will constitute the same instrument.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  Acceptance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expiry time for your acceptance of this letter is 5:00 p.m. Eastern Time on 4 September 2026.  Please indicate your acceptance, and on the basis of the Binding Provisions only, your agreement to the foregoing by executing a copy of this letter and returning it to the undersigned.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We look forward to working with you to advance this matter.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t xml:space="preserve">Yours sincerely,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t xml:space="preserve">_________________________</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ind w:right="1260"/>
        <w:jc w:val="right"/>
        <w:rPr>
          <w:b w:val="1"/>
          <w:bCs w:val="1"/>
        </w:rPr>
      </w:pPr>
      <w:r w:rsidDel="00000000" w:rsidR="00000000" w:rsidRPr="00000000">
        <w:rPr>
          <w:b w:val="1"/>
          <w:bCs w:val="1"/>
          <w:rtl w:val="0"/>
        </w:rPr>
        <w:t xml:space="preserve">Fraser Matthews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t xml:space="preserve">Director and Chief Executive Officer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right="1260"/>
        <w:jc w:val="right"/>
        <w:rPr/>
      </w:pPr>
      <w:r w:rsidDel="00000000" w:rsidR="00000000" w:rsidRPr="00000000">
        <w:rPr>
          <w:rtl w:val="0"/>
        </w:rPr>
        <w:t xml:space="preserve">Surge Digital Inc.</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pPr>
      <w:r w:rsidDel="00000000" w:rsidR="00000000" w:rsidRPr="00000000">
        <w:rPr>
          <w:i w:val="1"/>
          <w:iCs w:val="1"/>
          <w:sz w:val="20"/>
          <w:szCs w:val="20"/>
          <w:rtl w:val="0"/>
        </w:rPr>
        <w:t xml:space="preserve">[signature page follows]</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ACCEPTED as of the date written below:</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REBELFI, INC.</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     _________________________________</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Aleksandar Perak, Co-Founder     </w:t>
        <w:tab/>
        <w:tab/>
        <w:t xml:space="preserve">Simon Pettibone, Co-Founder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_______________     </w:t>
        <w:tab/>
        <w:tab/>
        <w:tab/>
        <w:t xml:space="preserve">Date: _______________</w:t>
      </w:r>
    </w:p>
    <w:p w:rsidR="00000000" w:rsidDel="00000000" w:rsidP="00000000" w:rsidRDefault="00000000" w:rsidRPr="00000000" w14:paraId="000000EE">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EF">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0">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1">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2">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3">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4">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5">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6">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7">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8">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9">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A">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B">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C">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D">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E">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0FF">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0">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1">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2">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3">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4">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5">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6">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7">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8">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9">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A">
      <w:pPr>
        <w:widowControl w:val="1"/>
        <w:spacing w:after="30" w:lineRule="auto"/>
        <w:rPr>
          <w:b w:val="1"/>
          <w:bCs w:val="1"/>
          <w:sz w:val="28"/>
          <w:szCs w:val="28"/>
        </w:rPr>
      </w:pPr>
      <w:r w:rsidDel="00000000" w:rsidR="00000000" w:rsidRPr="00000000">
        <w:rPr>
          <w:rtl w:val="0"/>
        </w:rPr>
      </w:r>
    </w:p>
    <w:p w:rsidR="00000000" w:rsidDel="00000000" w:rsidP="00000000" w:rsidRDefault="00000000" w:rsidRPr="00000000" w14:paraId="0000010B">
      <w:pPr>
        <w:widowControl w:val="1"/>
        <w:spacing w:after="30"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SCHEDULE A</w:t>
      </w:r>
      <w:r w:rsidDel="00000000" w:rsidR="00000000" w:rsidRPr="00000000">
        <w:rPr>
          <w:rtl w:val="0"/>
        </w:rPr>
      </w:r>
    </w:p>
    <w:p w:rsidR="00000000" w:rsidDel="00000000" w:rsidP="00000000" w:rsidRDefault="00000000" w:rsidRPr="00000000" w14:paraId="0000010C">
      <w:pPr>
        <w:widowControl w:val="1"/>
        <w:spacing w:after="20"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Founder Engagement</w:t>
      </w:r>
      <w:r w:rsidDel="00000000" w:rsidR="00000000" w:rsidRPr="00000000">
        <w:rPr>
          <w:rtl w:val="0"/>
        </w:rPr>
      </w:r>
    </w:p>
    <w:p w:rsidR="00000000" w:rsidDel="00000000" w:rsidP="00000000" w:rsidRDefault="00000000" w:rsidRPr="00000000" w14:paraId="0000010D">
      <w:pPr>
        <w:widowControl w:val="1"/>
        <w:spacing w:after="130" w:line="264" w:lineRule="auto"/>
        <w:jc w:val="both"/>
        <w:rPr>
          <w:color w:val="444444"/>
          <w:sz w:val="17"/>
          <w:szCs w:val="17"/>
        </w:rPr>
      </w:pPr>
      <w:r w:rsidDel="00000000" w:rsidR="00000000" w:rsidRPr="00000000">
        <w:rPr>
          <w:rtl w:val="0"/>
        </w:rPr>
      </w:r>
    </w:p>
    <w:p w:rsidR="00000000" w:rsidDel="00000000" w:rsidP="00000000" w:rsidRDefault="00000000" w:rsidRPr="00000000" w14:paraId="0000010E">
      <w:pPr>
        <w:widowControl w:val="1"/>
        <w:spacing w:after="130" w:line="264" w:lineRule="auto"/>
        <w:jc w:val="both"/>
        <w:rPr/>
      </w:pPr>
      <w:r w:rsidDel="00000000" w:rsidR="00000000" w:rsidRPr="00000000">
        <w:rPr>
          <w:rtl w:val="0"/>
        </w:rPr>
        <w:t xml:space="preserve">This Schedule is attached to and incorporated into the letter of intent of 27th August 2026 and will be carried into the consulting agreements under Section 6. The Consideration under Section 5 of the letter pays for the Company; it does not include the services below.</w:t>
      </w:r>
      <w:r w:rsidDel="00000000" w:rsidR="00000000" w:rsidRPr="00000000">
        <w:rPr>
          <w:rtl w:val="0"/>
        </w:rPr>
      </w:r>
    </w:p>
    <w:p w:rsidR="00000000" w:rsidDel="00000000" w:rsidP="00000000" w:rsidRDefault="00000000" w:rsidRPr="00000000" w14:paraId="0000010F">
      <w:pPr>
        <w:widowControl w:val="1"/>
        <w:spacing w:after="200" w:line="264" w:lineRule="auto"/>
        <w:jc w:val="both"/>
        <w:rPr/>
      </w:pPr>
      <w:r w:rsidDel="00000000" w:rsidR="00000000" w:rsidRPr="00000000">
        <w:rPr>
          <w:rtl w:val="0"/>
        </w:rPr>
        <w:t xml:space="preserve">This is the Purchaser's revision of the term sheet circulated on 24 August 2026. Sections 1 and 7 are accepted substantially as proposed. Sections 2, 3, 4, 5, 8, 9 and 10 are revised, and the equity incentive and financing-review provisions are not accepted. Reasons are noted in each case.</w:t>
      </w:r>
      <w:r w:rsidDel="00000000" w:rsidR="00000000" w:rsidRPr="00000000">
        <w:rPr>
          <w:rtl w:val="0"/>
        </w:rPr>
      </w:r>
    </w:p>
    <w:p w:rsidR="00000000" w:rsidDel="00000000" w:rsidP="00000000" w:rsidRDefault="00000000" w:rsidRPr="00000000" w14:paraId="00000110">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1.  Roles and reporting</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200"/>
        <w:tblGridChange w:id="0">
          <w:tblGrid>
            <w:gridCol w:w="2000"/>
            <w:gridCol w:w="7200"/>
          </w:tblGrid>
        </w:tblGridChange>
      </w:tblGrid>
      <w:tr>
        <w:trPr>
          <w:cantSplit w:val="0"/>
          <w:tblHeader w:val="1"/>
        </w:trPr>
        <w:tc>
          <w:tcPr>
            <w:shd w:fill="d9d9d9" w:val="clear"/>
            <w:tcMar>
              <w:top w:w="80.0" w:type="dxa"/>
              <w:left w:w="110.0" w:type="dxa"/>
              <w:bottom w:w="80.0" w:type="dxa"/>
              <w:right w:w="110.0" w:type="dxa"/>
            </w:tcMar>
          </w:tcPr>
          <w:p w:rsidR="00000000" w:rsidDel="00000000" w:rsidP="00000000" w:rsidRDefault="00000000" w:rsidRPr="00000000" w14:paraId="00000111">
            <w:pPr>
              <w:widowControl w:val="1"/>
              <w:rPr/>
            </w:pPr>
            <w:r w:rsidDel="00000000" w:rsidR="00000000" w:rsidRPr="00000000">
              <w:rPr>
                <w:b w:val="1"/>
                <w:bCs w:val="1"/>
                <w:rtl w:val="0"/>
              </w:rPr>
              <w:t xml:space="preserve">Founder</w:t>
            </w:r>
            <w:r w:rsidDel="00000000" w:rsidR="00000000" w:rsidRPr="00000000">
              <w:rPr>
                <w:rtl w:val="0"/>
              </w:rPr>
            </w:r>
          </w:p>
        </w:tc>
        <w:tc>
          <w:tcPr>
            <w:shd w:fill="d9d9d9" w:val="clear"/>
            <w:tcMar>
              <w:top w:w="80.0" w:type="dxa"/>
              <w:left w:w="110.0" w:type="dxa"/>
              <w:bottom w:w="80.0" w:type="dxa"/>
              <w:right w:w="110.0" w:type="dxa"/>
            </w:tcMar>
          </w:tcPr>
          <w:p w:rsidR="00000000" w:rsidDel="00000000" w:rsidP="00000000" w:rsidRDefault="00000000" w:rsidRPr="00000000" w14:paraId="00000112">
            <w:pPr>
              <w:widowControl w:val="1"/>
              <w:rPr/>
            </w:pPr>
            <w:r w:rsidDel="00000000" w:rsidR="00000000" w:rsidRPr="00000000">
              <w:rPr>
                <w:b w:val="1"/>
                <w:bCs w:val="1"/>
                <w:rtl w:val="0"/>
              </w:rPr>
              <w:t xml:space="preserve">Role and scope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3">
            <w:pPr>
              <w:widowControl w:val="1"/>
              <w:rPr/>
            </w:pPr>
            <w:r w:rsidDel="00000000" w:rsidR="00000000" w:rsidRPr="00000000">
              <w:rPr>
                <w:b w:val="1"/>
                <w:bCs w:val="1"/>
                <w:rtl w:val="0"/>
              </w:rPr>
              <w:t xml:space="preserve">Simon Pettibone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4">
            <w:pPr>
              <w:widowControl w:val="1"/>
              <w:rPr/>
            </w:pPr>
            <w:r w:rsidDel="00000000" w:rsidR="00000000" w:rsidRPr="00000000">
              <w:rPr>
                <w:rtl w:val="0"/>
              </w:rPr>
              <w:t xml:space="preserve">Technical lead: product, engineering, integration of the RebelFi product into Purchaser-controlled infrastructure, delivery of runbooks and knowledge transfer, and development of the stablecoin payments product. Responsible founder for the integration milestone.</w:t>
            </w:r>
            <w:r w:rsidDel="00000000" w:rsidR="00000000" w:rsidRPr="00000000">
              <w:rPr>
                <w:rtl w:val="0"/>
              </w:rPr>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115">
            <w:pPr>
              <w:widowControl w:val="1"/>
              <w:rPr/>
            </w:pPr>
            <w:r w:rsidDel="00000000" w:rsidR="00000000" w:rsidRPr="00000000">
              <w:rPr>
                <w:b w:val="1"/>
                <w:bCs w:val="1"/>
                <w:rtl w:val="0"/>
              </w:rPr>
              <w:t xml:space="preserve">Aleksandar Perak</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16">
            <w:pPr>
              <w:widowControl w:val="1"/>
              <w:rPr/>
            </w:pPr>
            <w:r w:rsidDel="00000000" w:rsidR="00000000" w:rsidRPr="00000000">
              <w:rPr>
                <w:rtl w:val="0"/>
              </w:rPr>
              <w:t xml:space="preserve">Commercial lead: partnerships, go-to-market, customer and counterparty relationships, and business operations.</w:t>
            </w:r>
            <w:r w:rsidDel="00000000" w:rsidR="00000000" w:rsidRPr="00000000">
              <w:rPr>
                <w:rtl w:val="0"/>
              </w:rPr>
            </w:r>
          </w:p>
        </w:tc>
      </w:tr>
    </w:tbl>
    <w:p w:rsidR="00000000" w:rsidDel="00000000" w:rsidP="00000000" w:rsidRDefault="00000000" w:rsidRPr="00000000" w14:paraId="00000117">
      <w:pPr>
        <w:widowControl w:val="1"/>
        <w:spacing w:after="130" w:lineRule="auto"/>
        <w:rPr/>
      </w:pPr>
      <w:r w:rsidDel="00000000" w:rsidR="00000000" w:rsidRPr="00000000">
        <w:rPr>
          <w:rtl w:val="0"/>
        </w:rPr>
      </w:r>
    </w:p>
    <w:p w:rsidR="00000000" w:rsidDel="00000000" w:rsidP="00000000" w:rsidRDefault="00000000" w:rsidRPr="00000000" w14:paraId="00000118">
      <w:pPr>
        <w:widowControl w:val="1"/>
        <w:spacing w:after="130" w:line="264" w:lineRule="auto"/>
        <w:jc w:val="both"/>
        <w:rPr/>
      </w:pPr>
      <w:r w:rsidDel="00000000" w:rsidR="00000000" w:rsidRPr="00000000">
        <w:rPr>
          <w:rtl w:val="0"/>
        </w:rPr>
        <w:t xml:space="preserve">Each founder reports to the Chief Executive Officer of the Purchaser or such </w:t>
      </w:r>
      <w:r w:rsidDel="00000000" w:rsidR="00000000" w:rsidRPr="00000000">
        <w:rPr>
          <w:rtl w:val="0"/>
        </w:rPr>
        <w:t xml:space="preserve">other executive</w:t>
      </w:r>
      <w:r w:rsidDel="00000000" w:rsidR="00000000" w:rsidRPr="00000000">
        <w:rPr>
          <w:rtl w:val="0"/>
        </w:rPr>
        <w:t xml:space="preserve"> as the Purchaser designates. Services may be provided remotely; there is no relocation requirement.</w:t>
      </w:r>
      <w:r w:rsidDel="00000000" w:rsidR="00000000" w:rsidRPr="00000000">
        <w:rPr>
          <w:rtl w:val="0"/>
        </w:rPr>
      </w:r>
    </w:p>
    <w:p w:rsidR="00000000" w:rsidDel="00000000" w:rsidP="00000000" w:rsidRDefault="00000000" w:rsidRPr="00000000" w14:paraId="00000119">
      <w:pPr>
        <w:widowControl w:val="1"/>
        <w:spacing w:after="130" w:line="264" w:lineRule="auto"/>
        <w:jc w:val="both"/>
        <w:rPr/>
      </w:pPr>
      <w:r w:rsidDel="00000000" w:rsidR="00000000" w:rsidRPr="00000000">
        <w:rPr>
          <w:b w:val="1"/>
          <w:bCs w:val="1"/>
          <w:rtl w:val="0"/>
        </w:rPr>
        <w:t xml:space="preserve">Note. </w:t>
      </w:r>
      <w:r w:rsidDel="00000000" w:rsidR="00000000" w:rsidRPr="00000000">
        <w:rPr>
          <w:rtl w:val="0"/>
        </w:rPr>
        <w:t xml:space="preserve">The letter of intent has been amended throughout to reflect this allocation. Because the integration milestone depends on the technical workstream, Condition 14 now requires a consulting agreement from each founder rather than from one.</w:t>
      </w:r>
      <w:r w:rsidDel="00000000" w:rsidR="00000000" w:rsidRPr="00000000">
        <w:rPr>
          <w:rtl w:val="0"/>
        </w:rPr>
      </w:r>
    </w:p>
    <w:p w:rsidR="00000000" w:rsidDel="00000000" w:rsidP="00000000" w:rsidRDefault="00000000" w:rsidRPr="00000000" w14:paraId="0000011A">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2.  Commitment and fee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3.658536585366"/>
        <w:gridCol w:w="3348.292682926829"/>
        <w:gridCol w:w="2359.0243902439024"/>
        <w:gridCol w:w="2359.0243902439024"/>
        <w:tblGridChange w:id="0">
          <w:tblGrid>
            <w:gridCol w:w="1293.658536585366"/>
            <w:gridCol w:w="3348.292682926829"/>
            <w:gridCol w:w="2359.0243902439024"/>
            <w:gridCol w:w="2359.0243902439024"/>
          </w:tblGrid>
        </w:tblGridChange>
      </w:tblGrid>
      <w:tr>
        <w:trPr>
          <w:cantSplit w:val="0"/>
          <w:tblHeader w:val="1"/>
        </w:trPr>
        <w:tc>
          <w:tcPr>
            <w:shd w:fill="d9d9d9" w:val="clear"/>
            <w:tcMar>
              <w:top w:w="80.0" w:type="dxa"/>
              <w:left w:w="110.0" w:type="dxa"/>
              <w:bottom w:w="80.0" w:type="dxa"/>
              <w:right w:w="110.0" w:type="dxa"/>
            </w:tcMar>
          </w:tcPr>
          <w:p w:rsidR="00000000" w:rsidDel="00000000" w:rsidP="00000000" w:rsidRDefault="00000000" w:rsidRPr="00000000" w14:paraId="0000011B">
            <w:pPr>
              <w:widowControl w:val="1"/>
              <w:rPr/>
            </w:pPr>
            <w:r w:rsidDel="00000000" w:rsidR="00000000" w:rsidRPr="00000000">
              <w:rPr>
                <w:b w:val="1"/>
                <w:bCs w:val="1"/>
                <w:rtl w:val="0"/>
              </w:rPr>
              <w:t xml:space="preserve">Level</w:t>
            </w:r>
            <w:r w:rsidDel="00000000" w:rsidR="00000000" w:rsidRPr="00000000">
              <w:rPr>
                <w:rtl w:val="0"/>
              </w:rPr>
            </w:r>
          </w:p>
        </w:tc>
        <w:tc>
          <w:tcPr>
            <w:shd w:fill="d9d9d9" w:val="clear"/>
            <w:tcMar>
              <w:top w:w="80.0" w:type="dxa"/>
              <w:left w:w="110.0" w:type="dxa"/>
              <w:bottom w:w="80.0" w:type="dxa"/>
              <w:right w:w="110.0" w:type="dxa"/>
            </w:tcMar>
          </w:tcPr>
          <w:p w:rsidR="00000000" w:rsidDel="00000000" w:rsidP="00000000" w:rsidRDefault="00000000" w:rsidRPr="00000000" w14:paraId="0000011C">
            <w:pPr>
              <w:widowControl w:val="1"/>
              <w:rPr/>
            </w:pPr>
            <w:r w:rsidDel="00000000" w:rsidR="00000000" w:rsidRPr="00000000">
              <w:rPr>
                <w:b w:val="1"/>
                <w:bCs w:val="1"/>
                <w:rtl w:val="0"/>
              </w:rPr>
              <w:t xml:space="preserve">Commitment</w:t>
            </w:r>
            <w:r w:rsidDel="00000000" w:rsidR="00000000" w:rsidRPr="00000000">
              <w:rPr>
                <w:rtl w:val="0"/>
              </w:rPr>
            </w:r>
          </w:p>
        </w:tc>
        <w:tc>
          <w:tcPr>
            <w:shd w:fill="d9d9d9" w:val="clear"/>
            <w:tcMar>
              <w:top w:w="80.0" w:type="dxa"/>
              <w:left w:w="110.0" w:type="dxa"/>
              <w:bottom w:w="80.0" w:type="dxa"/>
              <w:right w:w="110.0" w:type="dxa"/>
            </w:tcMar>
          </w:tcPr>
          <w:p w:rsidR="00000000" w:rsidDel="00000000" w:rsidP="00000000" w:rsidRDefault="00000000" w:rsidRPr="00000000" w14:paraId="0000011D">
            <w:pPr>
              <w:widowControl w:val="1"/>
              <w:rPr/>
            </w:pPr>
            <w:r w:rsidDel="00000000" w:rsidR="00000000" w:rsidRPr="00000000">
              <w:rPr>
                <w:b w:val="1"/>
                <w:bCs w:val="1"/>
                <w:rtl w:val="0"/>
              </w:rPr>
              <w:t xml:space="preserve">Monthly fee (USD) - Floor</w:t>
            </w:r>
            <w:r w:rsidDel="00000000" w:rsidR="00000000" w:rsidRPr="00000000">
              <w:rPr>
                <w:rtl w:val="0"/>
              </w:rPr>
            </w:r>
          </w:p>
        </w:tc>
        <w:tc>
          <w:tcPr>
            <w:shd w:fill="d9d9d9" w:val="clear"/>
            <w:tcMar>
              <w:top w:w="80.0" w:type="dxa"/>
              <w:left w:w="110.0" w:type="dxa"/>
              <w:bottom w:w="80.0" w:type="dxa"/>
              <w:right w:w="110.0" w:type="dxa"/>
            </w:tcMar>
          </w:tcPr>
          <w:p w:rsidR="00000000" w:rsidDel="00000000" w:rsidP="00000000" w:rsidRDefault="00000000" w:rsidRPr="00000000" w14:paraId="0000011E">
            <w:pPr>
              <w:widowControl w:val="1"/>
              <w:rPr>
                <w:b w:val="1"/>
                <w:bCs w:val="1"/>
              </w:rPr>
            </w:pPr>
            <w:r w:rsidDel="00000000" w:rsidR="00000000" w:rsidRPr="00000000">
              <w:rPr>
                <w:b w:val="1"/>
                <w:bCs w:val="1"/>
                <w:rtl w:val="0"/>
              </w:rPr>
              <w:t xml:space="preserve">Monthly fee (USD) - Ceiling</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F">
            <w:pPr>
              <w:widowControl w:val="1"/>
              <w:rPr/>
            </w:pPr>
            <w:r w:rsidDel="00000000" w:rsidR="00000000" w:rsidRPr="00000000">
              <w:rPr>
                <w:b w:val="1"/>
                <w:bCs w:val="1"/>
                <w:rtl w:val="0"/>
              </w:rPr>
              <w:t xml:space="preserve">Part-time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0">
            <w:pPr>
              <w:widowControl w:val="1"/>
              <w:rPr/>
            </w:pPr>
            <w:r w:rsidDel="00000000" w:rsidR="00000000" w:rsidRPr="00000000">
              <w:rPr>
                <w:rtl w:val="0"/>
              </w:rPr>
              <w:t xml:space="preserve">80 hours per month, scheduled around the integration plan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1">
            <w:pPr>
              <w:widowControl w:val="1"/>
              <w:rPr/>
            </w:pPr>
            <w:r w:rsidDel="00000000" w:rsidR="00000000" w:rsidRPr="00000000">
              <w:rPr>
                <w:rtl w:val="0"/>
              </w:rPr>
              <w:t xml:space="preserve">US$4,000</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2">
            <w:pPr>
              <w:widowControl w:val="1"/>
              <w:rPr/>
            </w:pPr>
            <w:r w:rsidDel="00000000" w:rsidR="00000000" w:rsidRPr="00000000">
              <w:rPr>
                <w:rtl w:val="0"/>
              </w:rPr>
              <w:t xml:space="preserve">7,500</w:t>
            </w:r>
          </w:p>
        </w:tc>
      </w:tr>
      <w:tr>
        <w:trPr>
          <w:cantSplit w:val="0"/>
          <w:tblHeader w:val="0"/>
        </w:trPr>
        <w:tc>
          <w:tcPr>
            <w:shd w:fill="f2f2f2" w:val="clear"/>
            <w:tcMar>
              <w:top w:w="80.0" w:type="dxa"/>
              <w:left w:w="110.0" w:type="dxa"/>
              <w:bottom w:w="80.0" w:type="dxa"/>
              <w:right w:w="110.0" w:type="dxa"/>
            </w:tcMar>
          </w:tcPr>
          <w:p w:rsidR="00000000" w:rsidDel="00000000" w:rsidP="00000000" w:rsidRDefault="00000000" w:rsidRPr="00000000" w14:paraId="00000123">
            <w:pPr>
              <w:widowControl w:val="1"/>
              <w:rPr/>
            </w:pPr>
            <w:r w:rsidDel="00000000" w:rsidR="00000000" w:rsidRPr="00000000">
              <w:rPr>
                <w:b w:val="1"/>
                <w:bCs w:val="1"/>
                <w:rtl w:val="0"/>
              </w:rPr>
              <w:t xml:space="preserve">Full-time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24">
            <w:pPr>
              <w:widowControl w:val="1"/>
              <w:rPr/>
            </w:pPr>
            <w:r w:rsidDel="00000000" w:rsidR="00000000" w:rsidRPr="00000000">
              <w:rPr>
                <w:rtl w:val="0"/>
              </w:rPr>
              <w:t xml:space="preserve">Full working time, approximately 160 hours per month</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25">
            <w:pPr>
              <w:widowControl w:val="1"/>
              <w:rPr/>
            </w:pPr>
            <w:r w:rsidDel="00000000" w:rsidR="00000000" w:rsidRPr="00000000">
              <w:rPr>
                <w:rtl w:val="0"/>
              </w:rPr>
              <w:t xml:space="preserve">US$7,500</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126">
            <w:pPr>
              <w:widowControl w:val="1"/>
              <w:rPr/>
            </w:pPr>
            <w:r w:rsidDel="00000000" w:rsidR="00000000" w:rsidRPr="00000000">
              <w:rPr>
                <w:rtl w:val="0"/>
              </w:rPr>
              <w:t xml:space="preserve">12,500</w:t>
            </w:r>
          </w:p>
        </w:tc>
      </w:tr>
    </w:tbl>
    <w:p w:rsidR="00000000" w:rsidDel="00000000" w:rsidP="00000000" w:rsidRDefault="00000000" w:rsidRPr="00000000" w14:paraId="00000127">
      <w:pPr>
        <w:widowControl w:val="1"/>
        <w:spacing w:after="130" w:lineRule="auto"/>
        <w:rPr/>
      </w:pPr>
      <w:r w:rsidDel="00000000" w:rsidR="00000000" w:rsidRPr="00000000">
        <w:rPr>
          <w:rtl w:val="0"/>
        </w:rPr>
      </w:r>
    </w:p>
    <w:p w:rsidR="00000000" w:rsidDel="00000000" w:rsidP="00000000" w:rsidRDefault="00000000" w:rsidRPr="00000000" w14:paraId="00000128">
      <w:pPr>
        <w:widowControl w:val="1"/>
        <w:spacing w:after="130" w:line="264" w:lineRule="auto"/>
        <w:jc w:val="both"/>
        <w:rPr/>
      </w:pPr>
      <w:r w:rsidDel="00000000" w:rsidR="00000000" w:rsidRPr="00000000">
        <w:rPr>
          <w:rtl w:val="0"/>
        </w:rPr>
        <w:t xml:space="preserve">The founder and purchaser will agree on the Level at closing based on business needs, funding and requirements</w:t>
      </w:r>
      <w:r w:rsidDel="00000000" w:rsidR="00000000" w:rsidRPr="00000000">
        <w:rPr>
          <w:rtl w:val="0"/>
        </w:rPr>
        <w:t xml:space="preserve">. A founder moves from part-time to full-time (or vice versa) on 30 days' notice whenever the Purchaser requests it, and the fee adjusts from the date of the change. Fees are payable in cash, monthly in arrears, are not contingent on any financing, and are reviewed annually against role scope and market rates.</w:t>
      </w:r>
      <w:r w:rsidDel="00000000" w:rsidR="00000000" w:rsidRPr="00000000">
        <w:rPr>
          <w:rtl w:val="0"/>
        </w:rPr>
      </w:r>
    </w:p>
    <w:p w:rsidR="00000000" w:rsidDel="00000000" w:rsidP="00000000" w:rsidRDefault="00000000" w:rsidRPr="00000000" w14:paraId="00000129">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3.  Integration planning before closing</w:t>
      </w:r>
      <w:r w:rsidDel="00000000" w:rsidR="00000000" w:rsidRPr="00000000">
        <w:rPr>
          <w:rtl w:val="0"/>
        </w:rPr>
      </w:r>
    </w:p>
    <w:p w:rsidR="00000000" w:rsidDel="00000000" w:rsidP="00000000" w:rsidRDefault="00000000" w:rsidRPr="00000000" w14:paraId="0000012A">
      <w:pPr>
        <w:widowControl w:val="1"/>
        <w:spacing w:after="130" w:line="264" w:lineRule="auto"/>
        <w:jc w:val="both"/>
        <w:rPr/>
      </w:pPr>
      <w:r w:rsidDel="00000000" w:rsidR="00000000" w:rsidRPr="00000000">
        <w:rPr>
          <w:rtl w:val="0"/>
        </w:rPr>
        <w:t xml:space="preserve">The Purchaser agrees with the objective of starting integration planning immediately and will do so, but not on a paid basis. During the period between signature of the letter of intent and closing, the parties will work together on the integration and transition plan, and the founders will provide diligence support, at no fee. Services and fees under Section 2 commence at closing.</w:t>
      </w:r>
      <w:r w:rsidDel="00000000" w:rsidR="00000000" w:rsidRPr="00000000">
        <w:rPr>
          <w:rtl w:val="0"/>
        </w:rPr>
      </w:r>
    </w:p>
    <w:p w:rsidR="00000000" w:rsidDel="00000000" w:rsidP="00000000" w:rsidRDefault="00000000" w:rsidRPr="00000000" w14:paraId="0000012B">
      <w:pPr>
        <w:widowControl w:val="1"/>
        <w:spacing w:after="130" w:line="264" w:lineRule="auto"/>
        <w:jc w:val="both"/>
        <w:rPr/>
      </w:pPr>
      <w:r w:rsidDel="00000000" w:rsidR="00000000" w:rsidRPr="00000000">
        <w:rPr>
          <w:rtl w:val="0"/>
        </w:rPr>
        <w:t xml:space="preserve">No fee, retainer or expense reimbursement is payable by the Purchaser to either founder or to the Company in respect of any period before closing.</w:t>
      </w:r>
      <w:r w:rsidDel="00000000" w:rsidR="00000000" w:rsidRPr="00000000">
        <w:rPr>
          <w:rtl w:val="0"/>
        </w:rPr>
      </w:r>
    </w:p>
    <w:p w:rsidR="00000000" w:rsidDel="00000000" w:rsidP="00000000" w:rsidRDefault="00000000" w:rsidRPr="00000000" w14:paraId="0000012C">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4.  Term and notice</w:t>
      </w:r>
      <w:r w:rsidDel="00000000" w:rsidR="00000000" w:rsidRPr="00000000">
        <w:rPr>
          <w:rtl w:val="0"/>
        </w:rPr>
      </w:r>
    </w:p>
    <w:p w:rsidR="00000000" w:rsidDel="00000000" w:rsidP="00000000" w:rsidRDefault="00000000" w:rsidRPr="00000000" w14:paraId="0000012D">
      <w:pPr>
        <w:widowControl w:val="1"/>
        <w:numPr>
          <w:ilvl w:val="0"/>
          <w:numId w:val="8"/>
        </w:numPr>
        <w:spacing w:after="0" w:afterAutospacing="0" w:line="264" w:lineRule="auto"/>
        <w:ind w:left="720" w:hanging="360"/>
        <w:jc w:val="both"/>
        <w:rPr/>
      </w:pPr>
      <w:r w:rsidDel="00000000" w:rsidR="00000000" w:rsidRPr="00000000">
        <w:rPr>
          <w:rtl w:val="0"/>
        </w:rPr>
        <w:t xml:space="preserve">Minimum term of three months from closing; thereafter terminable by either party on 60 days' written notice.</w:t>
      </w:r>
      <w:r w:rsidDel="00000000" w:rsidR="00000000" w:rsidRPr="00000000">
        <w:rPr>
          <w:rtl w:val="0"/>
        </w:rPr>
      </w:r>
    </w:p>
    <w:p w:rsidR="00000000" w:rsidDel="00000000" w:rsidP="00000000" w:rsidRDefault="00000000" w:rsidRPr="00000000" w14:paraId="0000012E">
      <w:pPr>
        <w:widowControl w:val="1"/>
        <w:numPr>
          <w:ilvl w:val="0"/>
          <w:numId w:val="8"/>
        </w:numPr>
        <w:spacing w:after="90" w:line="264" w:lineRule="auto"/>
        <w:ind w:left="720" w:hanging="360"/>
        <w:jc w:val="both"/>
        <w:rPr/>
      </w:pPr>
      <w:r w:rsidDel="00000000" w:rsidR="00000000" w:rsidRPr="00000000">
        <w:rPr>
          <w:rtl w:val="0"/>
        </w:rPr>
        <w:t xml:space="preserve">Termination for cause (material breach uncured after 15 days' written notice, or fraud) may be immediate.</w:t>
      </w:r>
      <w:r w:rsidDel="00000000" w:rsidR="00000000" w:rsidRPr="00000000">
        <w:rPr>
          <w:rtl w:val="0"/>
        </w:rPr>
      </w:r>
    </w:p>
    <w:p w:rsidR="00000000" w:rsidDel="00000000" w:rsidP="00000000" w:rsidRDefault="00000000" w:rsidRPr="00000000" w14:paraId="0000012F">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5.  Effect of termination on the integration milestone</w:t>
      </w:r>
      <w:r w:rsidDel="00000000" w:rsidR="00000000" w:rsidRPr="00000000">
        <w:rPr>
          <w:rtl w:val="0"/>
        </w:rPr>
      </w:r>
    </w:p>
    <w:p w:rsidR="00000000" w:rsidDel="00000000" w:rsidP="00000000" w:rsidRDefault="00000000" w:rsidRPr="00000000" w14:paraId="00000130">
      <w:pPr>
        <w:widowControl w:val="1"/>
        <w:numPr>
          <w:ilvl w:val="0"/>
          <w:numId w:val="6"/>
        </w:numPr>
        <w:spacing w:after="0" w:afterAutospacing="0" w:line="264" w:lineRule="auto"/>
        <w:ind w:left="720" w:hanging="360"/>
        <w:jc w:val="both"/>
        <w:rPr/>
      </w:pPr>
      <w:r w:rsidDel="00000000" w:rsidR="00000000" w:rsidRPr="00000000">
        <w:rPr>
          <w:rtl w:val="0"/>
        </w:rPr>
        <w:t xml:space="preserve">If the Purchaser terminates without cause the engagement of the founder responsible for the technical workstream before the integration milestone is achieved, that founder's share of the milestone tranche vests and is issued within 10 business days, pro-rated by reference to the proportion of the acceptance criteria then satisfied, as certified by the Purchaser acting reasonably.</w:t>
      </w:r>
      <w:r w:rsidDel="00000000" w:rsidR="00000000" w:rsidRPr="00000000">
        <w:rPr>
          <w:rtl w:val="0"/>
        </w:rPr>
      </w:r>
    </w:p>
    <w:p w:rsidR="00000000" w:rsidDel="00000000" w:rsidP="00000000" w:rsidRDefault="00000000" w:rsidRPr="00000000" w14:paraId="00000131">
      <w:pPr>
        <w:widowControl w:val="1"/>
        <w:numPr>
          <w:ilvl w:val="0"/>
          <w:numId w:val="6"/>
        </w:numPr>
        <w:spacing w:after="0" w:afterAutospacing="0" w:line="264" w:lineRule="auto"/>
        <w:ind w:left="720" w:hanging="360"/>
        <w:jc w:val="both"/>
        <w:rPr/>
      </w:pPr>
      <w:r w:rsidDel="00000000" w:rsidR="00000000" w:rsidRPr="00000000">
        <w:rPr>
          <w:rtl w:val="0"/>
        </w:rPr>
        <w:t xml:space="preserve">If the Purchaser has not designated the deployment environment within 120 days of closing, the founders' obligations in respect of the milestone are suspended, and the milestone tranche is placed in escrow, releasable on achievement or deemed acceptance of the milestone or 18 months after closing, whichever is earlier.</w:t>
      </w:r>
      <w:r w:rsidDel="00000000" w:rsidR="00000000" w:rsidRPr="00000000">
        <w:rPr>
          <w:rtl w:val="0"/>
        </w:rPr>
      </w:r>
    </w:p>
    <w:p w:rsidR="00000000" w:rsidDel="00000000" w:rsidP="00000000" w:rsidRDefault="00000000" w:rsidRPr="00000000" w14:paraId="00000132">
      <w:pPr>
        <w:widowControl w:val="1"/>
        <w:numPr>
          <w:ilvl w:val="0"/>
          <w:numId w:val="6"/>
        </w:numPr>
        <w:spacing w:after="90" w:line="264" w:lineRule="auto"/>
        <w:ind w:left="720" w:hanging="360"/>
        <w:jc w:val="both"/>
        <w:rPr/>
      </w:pPr>
      <w:r w:rsidDel="00000000" w:rsidR="00000000" w:rsidRPr="00000000">
        <w:rPr>
          <w:rtl w:val="0"/>
        </w:rPr>
        <w:t xml:space="preserve">One founder's resignation does not affect the other's entitlements.</w:t>
      </w:r>
      <w:r w:rsidDel="00000000" w:rsidR="00000000" w:rsidRPr="00000000">
        <w:rPr>
          <w:rtl w:val="0"/>
        </w:rPr>
      </w:r>
    </w:p>
    <w:p w:rsidR="00000000" w:rsidDel="00000000" w:rsidP="00000000" w:rsidRDefault="00000000" w:rsidRPr="00000000" w14:paraId="00000133">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6</w:t>
      </w:r>
      <w:r w:rsidDel="00000000" w:rsidR="00000000" w:rsidRPr="00000000">
        <w:rPr>
          <w:sz w:val="22"/>
          <w:szCs w:val="22"/>
          <w:rtl w:val="0"/>
        </w:rPr>
        <w:t xml:space="preserve">.  Other activities</w:t>
      </w:r>
      <w:r w:rsidDel="00000000" w:rsidR="00000000" w:rsidRPr="00000000">
        <w:rPr>
          <w:rtl w:val="0"/>
        </w:rPr>
      </w:r>
    </w:p>
    <w:p w:rsidR="00000000" w:rsidDel="00000000" w:rsidP="00000000" w:rsidRDefault="00000000" w:rsidRPr="00000000" w14:paraId="00000134">
      <w:pPr>
        <w:widowControl w:val="1"/>
        <w:numPr>
          <w:ilvl w:val="0"/>
          <w:numId w:val="9"/>
        </w:numPr>
        <w:spacing w:after="130" w:line="264" w:lineRule="auto"/>
        <w:ind w:left="720" w:hanging="360"/>
        <w:jc w:val="both"/>
        <w:rPr/>
      </w:pPr>
      <w:r w:rsidDel="00000000" w:rsidR="00000000" w:rsidRPr="00000000">
        <w:rPr>
          <w:rtl w:val="0"/>
        </w:rPr>
        <w:t xml:space="preserve">Each founder discloses in writing before closing every other current venture, employment or consulting arrangement and its time commitment (Condition 15). The commitment levels in Section 2 define “does not materially interfere”. No other restriction on outside activities applies beyond Sections 8 and 9. Accepted as proposed, and the corresponding sentence has been struck from Section 9 of the letter.</w:t>
      </w:r>
      <w:r w:rsidDel="00000000" w:rsidR="00000000" w:rsidRPr="00000000">
        <w:rPr>
          <w:rtl w:val="0"/>
        </w:rPr>
      </w:r>
    </w:p>
    <w:p w:rsidR="00000000" w:rsidDel="00000000" w:rsidP="00000000" w:rsidRDefault="00000000" w:rsidRPr="00000000" w14:paraId="00000135">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7</w:t>
      </w:r>
      <w:r w:rsidDel="00000000" w:rsidR="00000000" w:rsidRPr="00000000">
        <w:rPr>
          <w:sz w:val="22"/>
          <w:szCs w:val="22"/>
          <w:rtl w:val="0"/>
        </w:rPr>
        <w:t xml:space="preserve">.  Intellectual property</w:t>
      </w:r>
      <w:r w:rsidDel="00000000" w:rsidR="00000000" w:rsidRPr="00000000">
        <w:rPr>
          <w:rtl w:val="0"/>
        </w:rPr>
      </w:r>
    </w:p>
    <w:p w:rsidR="00000000" w:rsidDel="00000000" w:rsidP="00000000" w:rsidRDefault="00000000" w:rsidRPr="00000000" w14:paraId="00000136">
      <w:pPr>
        <w:widowControl w:val="1"/>
        <w:numPr>
          <w:ilvl w:val="0"/>
          <w:numId w:val="1"/>
        </w:numPr>
        <w:spacing w:after="0" w:afterAutospacing="0" w:line="264" w:lineRule="auto"/>
        <w:ind w:left="720" w:hanging="360"/>
        <w:jc w:val="both"/>
        <w:rPr/>
      </w:pPr>
      <w:r w:rsidDel="00000000" w:rsidR="00000000" w:rsidRPr="00000000">
        <w:rPr>
          <w:rtl w:val="0"/>
        </w:rPr>
        <w:t xml:space="preserve">Excluded from that assignment, from the personal assignment under Section 6 of the letter, and from any invention-assignment clause, are the assets listed on a schedule of excluded intellectual property agreed and dated on or before closing. The schedule will identify the excluded repositories, applications, designs, data and materials specifically, and each founder will represent that no item on it is incorporated in, or necessary to operate, the RebelFi product.</w:t>
      </w:r>
      <w:r w:rsidDel="00000000" w:rsidR="00000000" w:rsidRPr="00000000">
        <w:rPr>
          <w:rtl w:val="0"/>
        </w:rPr>
      </w:r>
    </w:p>
    <w:p w:rsidR="00000000" w:rsidDel="00000000" w:rsidP="00000000" w:rsidRDefault="00000000" w:rsidRPr="00000000" w14:paraId="00000137">
      <w:pPr>
        <w:widowControl w:val="1"/>
        <w:numPr>
          <w:ilvl w:val="0"/>
          <w:numId w:val="1"/>
        </w:numPr>
        <w:spacing w:after="0" w:afterAutospacing="0" w:line="264" w:lineRule="auto"/>
        <w:ind w:left="720" w:hanging="360"/>
        <w:jc w:val="both"/>
        <w:rPr/>
      </w:pPr>
      <w:r w:rsidDel="00000000" w:rsidR="00000000" w:rsidRPr="00000000">
        <w:rPr>
          <w:rtl w:val="0"/>
        </w:rPr>
        <w:t xml:space="preserve">Background intellectual property not incorporated into the RebelFi product is not assigned. Background intellectual property that is incorporated is assigned or, at the Purchaser's election, licensed to the Purchaser on a perpetual, irrevocable, royalty-free basis.</w:t>
      </w:r>
      <w:r w:rsidDel="00000000" w:rsidR="00000000" w:rsidRPr="00000000">
        <w:rPr>
          <w:rtl w:val="0"/>
        </w:rPr>
      </w:r>
    </w:p>
    <w:p w:rsidR="00000000" w:rsidDel="00000000" w:rsidP="00000000" w:rsidRDefault="00000000" w:rsidRPr="00000000" w14:paraId="00000138">
      <w:pPr>
        <w:widowControl w:val="1"/>
        <w:numPr>
          <w:ilvl w:val="0"/>
          <w:numId w:val="1"/>
        </w:numPr>
        <w:spacing w:after="90" w:line="264" w:lineRule="auto"/>
        <w:ind w:left="720" w:hanging="360"/>
        <w:jc w:val="both"/>
        <w:rPr/>
      </w:pPr>
      <w:r w:rsidDel="00000000" w:rsidR="00000000" w:rsidRPr="00000000">
        <w:rPr>
          <w:rtl w:val="0"/>
        </w:rPr>
        <w:t xml:space="preserve">Neither founder will use, in Tokenrip, Quintel or any other venture, any intellectual property, source code or confidential information of the Business.</w:t>
      </w:r>
      <w:r w:rsidDel="00000000" w:rsidR="00000000" w:rsidRPr="00000000">
        <w:rPr>
          <w:rtl w:val="0"/>
        </w:rPr>
      </w:r>
    </w:p>
    <w:p w:rsidR="00000000" w:rsidDel="00000000" w:rsidP="00000000" w:rsidRDefault="00000000" w:rsidRPr="00000000" w14:paraId="00000139">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8</w:t>
      </w:r>
      <w:r w:rsidDel="00000000" w:rsidR="00000000" w:rsidRPr="00000000">
        <w:rPr>
          <w:sz w:val="22"/>
          <w:szCs w:val="22"/>
          <w:rtl w:val="0"/>
        </w:rPr>
        <w:t xml:space="preserve">.  Restrictive covenants</w:t>
      </w:r>
      <w:r w:rsidDel="00000000" w:rsidR="00000000" w:rsidRPr="00000000">
        <w:rPr>
          <w:rtl w:val="0"/>
        </w:rPr>
      </w:r>
    </w:p>
    <w:p w:rsidR="00000000" w:rsidDel="00000000" w:rsidP="00000000" w:rsidRDefault="00000000" w:rsidRPr="00000000" w14:paraId="0000013A">
      <w:pPr>
        <w:widowControl w:val="1"/>
        <w:numPr>
          <w:ilvl w:val="0"/>
          <w:numId w:val="2"/>
        </w:numPr>
        <w:spacing w:after="0" w:afterAutospacing="0" w:line="264" w:lineRule="auto"/>
        <w:ind w:left="720" w:hanging="360"/>
        <w:jc w:val="both"/>
        <w:rPr>
          <w:u w:val="none"/>
        </w:rPr>
      </w:pPr>
      <w:r w:rsidDel="00000000" w:rsidR="00000000" w:rsidRPr="00000000">
        <w:rPr>
          <w:rtl w:val="0"/>
        </w:rPr>
        <w:t xml:space="preserve">Confidentiality per the existing mutual non-disclosure agreement and customary terms.</w:t>
      </w:r>
      <w:r w:rsidDel="00000000" w:rsidR="00000000" w:rsidRPr="00000000">
        <w:rPr>
          <w:rtl w:val="0"/>
        </w:rPr>
      </w:r>
    </w:p>
    <w:p w:rsidR="00000000" w:rsidDel="00000000" w:rsidP="00000000" w:rsidRDefault="00000000" w:rsidRPr="00000000" w14:paraId="0000013B">
      <w:pPr>
        <w:widowControl w:val="1"/>
        <w:numPr>
          <w:ilvl w:val="0"/>
          <w:numId w:val="2"/>
        </w:numPr>
        <w:spacing w:after="0" w:afterAutospacing="0" w:line="264" w:lineRule="auto"/>
        <w:ind w:left="720" w:hanging="360"/>
        <w:jc w:val="both"/>
        <w:rPr>
          <w:u w:val="none"/>
        </w:rPr>
      </w:pPr>
      <w:r w:rsidDel="00000000" w:rsidR="00000000" w:rsidRPr="00000000">
        <w:rPr>
          <w:rtl w:val="0"/>
        </w:rPr>
        <w:t xml:space="preserve">Non-solicitation of the Purchaser's employees, contractors and customers for 12 months after termination.</w:t>
      </w:r>
      <w:r w:rsidDel="00000000" w:rsidR="00000000" w:rsidRPr="00000000">
        <w:rPr>
          <w:rtl w:val="0"/>
        </w:rPr>
      </w:r>
    </w:p>
    <w:p w:rsidR="00000000" w:rsidDel="00000000" w:rsidP="00000000" w:rsidRDefault="00000000" w:rsidRPr="00000000" w14:paraId="0000013C">
      <w:pPr>
        <w:widowControl w:val="1"/>
        <w:numPr>
          <w:ilvl w:val="0"/>
          <w:numId w:val="2"/>
        </w:numPr>
        <w:spacing w:after="90" w:line="264" w:lineRule="auto"/>
        <w:ind w:left="720" w:hanging="360"/>
        <w:jc w:val="both"/>
        <w:rPr>
          <w:u w:val="none"/>
        </w:rPr>
      </w:pPr>
      <w:r w:rsidDel="00000000" w:rsidR="00000000" w:rsidRPr="00000000">
        <w:rPr>
          <w:rtl w:val="0"/>
        </w:rPr>
        <w:t xml:space="preserve">No non-competition covenant applies beyond the RebelFi business as defined in the letter. Tokenrip and Quintel are outside that scope, provided that neither is operated in a manner that uses the intellectual property or confidential information of the Business or solicits its customers or counterparties.</w:t>
      </w:r>
      <w:r w:rsidDel="00000000" w:rsidR="00000000" w:rsidRPr="00000000">
        <w:rPr>
          <w:rtl w:val="0"/>
        </w:rPr>
      </w:r>
    </w:p>
    <w:p w:rsidR="00000000" w:rsidDel="00000000" w:rsidP="00000000" w:rsidRDefault="00000000" w:rsidRPr="00000000" w14:paraId="0000013D">
      <w:pPr>
        <w:pStyle w:val="Heading1"/>
        <w:widowControl w:val="1"/>
        <w:spacing w:after="120" w:before="280" w:lineRule="auto"/>
        <w:rPr>
          <w:b w:val="0"/>
          <w:bCs w:val="0"/>
          <w:color w:val="2e74b5"/>
          <w:sz w:val="22"/>
          <w:szCs w:val="22"/>
        </w:rPr>
      </w:pPr>
      <w:r w:rsidDel="00000000" w:rsidR="00000000" w:rsidRPr="00000000">
        <w:rPr>
          <w:sz w:val="22"/>
          <w:szCs w:val="22"/>
          <w:rtl w:val="0"/>
        </w:rPr>
        <w:t xml:space="preserve">9</w:t>
      </w:r>
      <w:r w:rsidDel="00000000" w:rsidR="00000000" w:rsidRPr="00000000">
        <w:rPr>
          <w:sz w:val="22"/>
          <w:szCs w:val="22"/>
          <w:rtl w:val="0"/>
        </w:rPr>
        <w:t xml:space="preserve">.  Expenses</w:t>
      </w:r>
      <w:r w:rsidDel="00000000" w:rsidR="00000000" w:rsidRPr="00000000">
        <w:rPr>
          <w:rtl w:val="0"/>
        </w:rPr>
      </w:r>
    </w:p>
    <w:p w:rsidR="00000000" w:rsidDel="00000000" w:rsidP="00000000" w:rsidRDefault="00000000" w:rsidRPr="00000000" w14:paraId="0000013E">
      <w:pPr>
        <w:widowControl w:val="1"/>
        <w:numPr>
          <w:ilvl w:val="0"/>
          <w:numId w:val="7"/>
        </w:numPr>
        <w:spacing w:after="130" w:line="264" w:lineRule="auto"/>
        <w:ind w:left="720" w:hanging="360"/>
        <w:jc w:val="both"/>
        <w:rPr/>
      </w:pPr>
      <w:r w:rsidDel="00000000" w:rsidR="00000000" w:rsidRPr="00000000">
        <w:rPr>
          <w:rtl w:val="0"/>
        </w:rPr>
        <w:t xml:space="preserve">From closing, reasonable expenses, tooling, subscriptions and infrastructure used in the services are reimbursed or carried directly by the Purchaser, subject to prior approval and to a monthly budget agreed in the integration and transition plan. No expense incurred before closing is reimbursable.</w:t>
      </w:r>
      <w:r w:rsidDel="00000000" w:rsidR="00000000" w:rsidRPr="00000000">
        <w:rPr>
          <w:rtl w:val="0"/>
        </w:rPr>
      </w:r>
    </w:p>
    <w:p w:rsidR="00000000" w:rsidDel="00000000" w:rsidP="00000000" w:rsidRDefault="00000000" w:rsidRPr="00000000" w14:paraId="0000013F">
      <w:pPr>
        <w:widowControl w:val="1"/>
        <w:pBdr>
          <w:top w:color="bfbfbf" w:space="8" w:sz="6" w:val="single"/>
        </w:pBdr>
        <w:spacing w:before="300" w:lineRule="auto"/>
        <w:rPr/>
      </w:pPr>
      <w:r w:rsidDel="00000000" w:rsidR="00000000" w:rsidRPr="00000000">
        <w:rPr>
          <w:i w:val="1"/>
          <w:iCs w:val="1"/>
          <w:color w:val="444444"/>
          <w:rtl w:val="0"/>
        </w:rPr>
        <w:t xml:space="preserve">This Schedule is indicative and forms part of a non-binding letter of intent. It will be settled in the consulting agreements, which will be negotiated concurrently with the Definitive Agreement and executed at or before closing.</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widowControl w:val="1"/>
      <w:ind w:left="864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