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pStyle w:val="2"/>
        <w:bidi w:val="0"/>
        <w:ind w:firstLine="2650" w:firstLineChars="600"/>
        <w:jc w:val="both"/>
        <w:rPr>
          <w:rFonts w:hint="eastAsia"/>
          <w:sz w:val="52"/>
          <w:szCs w:val="52"/>
          <w:lang w:val="en-US" w:eastAsia="zh-CN"/>
        </w:rPr>
      </w:pPr>
      <w:r>
        <w:rPr>
          <w:rFonts w:hint="eastAsia"/>
          <w:sz w:val="44"/>
          <w:szCs w:val="44"/>
          <w:lang w:val="en-US" w:eastAsia="zh-CN"/>
        </w:rPr>
        <w:t>xx系统</w:t>
      </w:r>
    </w:p>
    <w:p>
      <w:pPr>
        <w:pStyle w:val="3"/>
        <w:bidi w:val="0"/>
        <w:jc w:val="center"/>
        <w:rPr>
          <w:rFonts w:hint="eastAsia"/>
          <w:lang w:val="en-US" w:eastAsia="zh-CN"/>
        </w:rPr>
      </w:pPr>
      <w:r>
        <w:rPr>
          <w:rFonts w:hint="eastAsia"/>
          <w:lang w:val="en-US" w:eastAsia="zh-CN"/>
        </w:rPr>
        <w:t>阶段性项目总结</w:t>
      </w: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eastAsia"/>
          <w:sz w:val="24"/>
          <w:szCs w:val="24"/>
          <w:lang w:val="en-US" w:eastAsia="zh-CN"/>
        </w:rPr>
      </w:pPr>
      <w:r>
        <w:rPr>
          <w:rFonts w:hint="eastAsia"/>
          <w:sz w:val="24"/>
          <w:szCs w:val="24"/>
          <w:lang w:val="en-US" w:eastAsia="zh-CN"/>
        </w:rPr>
        <w:t>20xx年x月xx</w:t>
      </w:r>
      <w:bookmarkStart w:id="5" w:name="_GoBack"/>
      <w:bookmarkEnd w:id="5"/>
      <w:r>
        <w:rPr>
          <w:rFonts w:hint="eastAsia"/>
          <w:sz w:val="24"/>
          <w:szCs w:val="24"/>
          <w:lang w:val="en-US" w:eastAsia="zh-CN"/>
        </w:rPr>
        <w:t>日</w:t>
      </w: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pStyle w:val="3"/>
        <w:numPr>
          <w:ilvl w:val="0"/>
          <w:numId w:val="1"/>
        </w:numPr>
        <w:bidi w:val="0"/>
        <w:rPr>
          <w:rFonts w:hint="eastAsia"/>
          <w:lang w:val="en-US" w:eastAsia="zh-CN"/>
        </w:rPr>
      </w:pPr>
      <w:r>
        <w:rPr>
          <w:rFonts w:hint="eastAsia"/>
          <w:lang w:val="en-US" w:eastAsia="zh-CN"/>
        </w:rPr>
        <w:t>测试过程</w:t>
      </w:r>
    </w:p>
    <w:p>
      <w:pPr>
        <w:pStyle w:val="4"/>
        <w:numPr>
          <w:ilvl w:val="1"/>
          <w:numId w:val="2"/>
        </w:numPr>
        <w:bidi w:val="0"/>
        <w:rPr>
          <w:rFonts w:hint="eastAsia"/>
          <w:lang w:val="en-US" w:eastAsia="zh-CN"/>
        </w:rPr>
      </w:pPr>
      <w:r>
        <w:rPr>
          <w:rFonts w:hint="eastAsia"/>
          <w:lang w:val="en-US" w:eastAsia="zh-CN"/>
        </w:rPr>
        <w:t>数据迁移报表核对</w:t>
      </w:r>
    </w:p>
    <w:p>
      <w:pPr>
        <w:pStyle w:val="5"/>
        <w:numPr>
          <w:ilvl w:val="2"/>
          <w:numId w:val="2"/>
        </w:numPr>
        <w:bidi w:val="0"/>
        <w:ind w:left="0" w:leftChars="0" w:firstLine="0" w:firstLineChars="0"/>
        <w:rPr>
          <w:rFonts w:hint="eastAsia"/>
          <w:lang w:val="en-US" w:eastAsia="zh-CN"/>
        </w:rPr>
      </w:pPr>
      <w:r>
        <w:rPr>
          <w:rFonts w:hint="eastAsia"/>
          <w:lang w:val="en-US" w:eastAsia="zh-CN"/>
        </w:rPr>
        <w:t>测试范围</w:t>
      </w:r>
    </w:p>
    <w:p>
      <w:pPr>
        <w:numPr>
          <w:ilvl w:val="0"/>
          <w:numId w:val="0"/>
        </w:numPr>
        <w:ind w:leftChars="0" w:firstLine="420"/>
        <w:rPr>
          <w:rFonts w:hint="eastAsia"/>
          <w:sz w:val="22"/>
          <w:szCs w:val="22"/>
          <w:lang w:val="en-US" w:eastAsia="zh-CN"/>
        </w:rPr>
      </w:pPr>
      <w:r>
        <w:rPr>
          <w:rFonts w:hint="eastAsia"/>
          <w:sz w:val="22"/>
          <w:szCs w:val="22"/>
          <w:lang w:val="en-US" w:eastAsia="zh-CN"/>
        </w:rPr>
        <w:t>本次测试的目的是验证老系统数据迁移到新系统后数据的正确性和完整性，根据优先级分类，其中优先级为1的共11张，优先级为2的共17张，优先级为3的共6张；详细范围如下：</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0"/>
        <w:gridCol w:w="735"/>
        <w:gridCol w:w="1894"/>
        <w:gridCol w:w="2341"/>
        <w:gridCol w:w="2022"/>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序号</w:t>
            </w:r>
          </w:p>
        </w:tc>
        <w:tc>
          <w:tcPr>
            <w:tcW w:w="431"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类型</w:t>
            </w:r>
          </w:p>
        </w:tc>
        <w:tc>
          <w:tcPr>
            <w:tcW w:w="1111"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查询/报表名称</w:t>
            </w:r>
          </w:p>
        </w:tc>
        <w:tc>
          <w:tcPr>
            <w:tcW w:w="1373"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老TA菜单目录</w:t>
            </w:r>
          </w:p>
        </w:tc>
        <w:tc>
          <w:tcPr>
            <w:tcW w:w="1186"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新TA菜单目录</w:t>
            </w:r>
          </w:p>
        </w:tc>
        <w:tc>
          <w:tcPr>
            <w:tcW w:w="544"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报表优先级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受益权余额查询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查询\受益权信息查询\受益权余额查询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查询\份额\客户份额汇总查询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收益分配方案查询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查询\受益权信息查询\收益分配方案查询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查询\分配\分配方案查询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收益分配汇总查询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查询\受益权信息查询\收益分配汇总查询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查询\分配\收益分配汇总查询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收益分配明细查询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查询\受益权信息查询\收益分配明细查询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查询\分配\客户分配明细查询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5</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分配预计算明细查询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查询\受益权信息查询\分配预计算明细查询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查询\分配\客户预计算明细查询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6</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交易确认查询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查询\合同查询\交易确认查询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查询\交易\交易确认查询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7</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信托利益分配明细对账单</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报表\封闭类产品\信托利益分配明细</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报表\信托利益分配明细</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8</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受益人名册</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报表\封闭类产品\受益人名册</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报表\受益人名册</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9</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交易确认明细表</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报表\开放式产品\交易确认明细表</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报表\交易确认明细</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10</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赎回对账单</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报表\开放式产品\赎回对账单</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报表\赎回对账单</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11</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信托份额明细表</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报表\开放式产品\信托份额明细表</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报表\信托份额明细</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12</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资金证明书</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报表\管理统计类\资金证明书</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报表\信托资金证明书</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13</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收益分配特殊情况处理单</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报表\管理统计类\收益分配特殊情况处理单</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报表\收益分配特殊情况处理单</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14</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收益分配补充划款单</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报表\管理统计类\收益分配补充划款单</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报表\收益分配补充划款单</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15</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受益权信息查询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查询\受益权信息查询\受益权类别信息查询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查询\项目\受益权信息查询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16</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合同信息查询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查询\合同查询\合同信息查询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查询\合同\合同基本信息查询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17</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账户确认查询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查询\客户查询\账户确认查询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查询\账户\账户确认查询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18</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客户信息查询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查询\客户查询\客户信息查询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查询\客户\客户信息查询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19</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受益权返还账户查询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查询\客户查询\受益权返还账户查询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查询\交易\合同受益返还账户查询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20</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交易申请查询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查询\合同查询\交易申请查询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查询\交易\交易申请查询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21</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计划信息查询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查询\受益权信息查询\计划信息查询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查询\项目\项目信息查询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22</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销售登记查询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查询\销售登记查询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查询\统计\销售登记查询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23</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计划销售登记表</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报表\管理统计类\计划销售登记表</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报表\计划销售登记</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24</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投顾转份额确认明细表</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查询\投顾转份额确认明细表</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报表\投顾转份额确认明细表</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25</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信托合同信息表</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报表\开放式产品\信托合同信息表</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报表\信托合同信息</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26</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现金管理类汇总查询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查询\现金管理类汇总查询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查询\分配\现金管理类汇总查询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27</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交易导出查询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查询\代销导出查询\交易导出查询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查询\代销\交易导出查询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28</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收益导出查询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查询\代销导出查询\收益导出查询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查询\代销\收益导出查询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29</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资金来源数据统计</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查询\资金来源数据统计</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查询\统计\资金来源数据统计</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30</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批量导出分配对账单</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报表\批量导出类\批量导出分配对账单</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报表\批量导出\批量导出分配对账单</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31</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报表</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批量导出开放日表</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报表\批量导出类\批量导出开放日表</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报表\批量导出\批量导出开放日</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32</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净值信息查询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查询\受益权信息查询\净值信息查询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查询\项目\净值信息查询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33</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销售数据统计</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查询\销售数据统计</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查询\统计\销售数据统计</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pct"/>
            <w:vAlign w:val="center"/>
          </w:tcPr>
          <w:p>
            <w:pPr>
              <w:numPr>
                <w:ilvl w:val="0"/>
                <w:numId w:val="0"/>
              </w:numPr>
              <w:jc w:val="center"/>
              <w:rPr>
                <w:rFonts w:hint="default"/>
                <w:vertAlign w:val="baseline"/>
                <w:lang w:val="en-US" w:eastAsia="zh-CN"/>
              </w:rPr>
            </w:pPr>
            <w:r>
              <w:rPr>
                <w:rFonts w:hint="eastAsia"/>
                <w:vertAlign w:val="baseline"/>
                <w:lang w:val="en-US" w:eastAsia="zh-CN"/>
              </w:rPr>
              <w:t>34</w:t>
            </w:r>
          </w:p>
        </w:tc>
        <w:tc>
          <w:tcPr>
            <w:tcW w:w="431" w:type="pct"/>
            <w:vAlign w:val="center"/>
          </w:tcPr>
          <w:p>
            <w:pPr>
              <w:numPr>
                <w:ilvl w:val="0"/>
                <w:numId w:val="0"/>
              </w:numPr>
              <w:jc w:val="center"/>
              <w:rPr>
                <w:rFonts w:hint="default"/>
                <w:vertAlign w:val="baseline"/>
                <w:lang w:val="en-US" w:eastAsia="zh-CN"/>
              </w:rPr>
            </w:pPr>
            <w:r>
              <w:rPr>
                <w:rFonts w:hint="eastAsia"/>
                <w:vertAlign w:val="baseline"/>
                <w:lang w:val="en-US" w:eastAsia="zh-CN"/>
              </w:rPr>
              <w:t>查询</w:t>
            </w:r>
          </w:p>
        </w:tc>
        <w:tc>
          <w:tcPr>
            <w:tcW w:w="1111" w:type="pct"/>
            <w:vAlign w:val="center"/>
          </w:tcPr>
          <w:p>
            <w:pPr>
              <w:numPr>
                <w:ilvl w:val="0"/>
                <w:numId w:val="0"/>
              </w:numPr>
              <w:jc w:val="left"/>
              <w:rPr>
                <w:rFonts w:hint="default"/>
                <w:vertAlign w:val="baseline"/>
                <w:lang w:val="en-US" w:eastAsia="zh-CN"/>
              </w:rPr>
            </w:pPr>
            <w:r>
              <w:rPr>
                <w:rFonts w:hint="default"/>
                <w:vertAlign w:val="baseline"/>
                <w:lang w:val="en-US" w:eastAsia="zh-CN"/>
              </w:rPr>
              <w:t>非居民客户纳税信息查询</w:t>
            </w:r>
          </w:p>
        </w:tc>
        <w:tc>
          <w:tcPr>
            <w:tcW w:w="1373" w:type="pct"/>
            <w:vAlign w:val="center"/>
          </w:tcPr>
          <w:p>
            <w:pPr>
              <w:numPr>
                <w:ilvl w:val="0"/>
                <w:numId w:val="0"/>
              </w:numPr>
              <w:jc w:val="left"/>
              <w:rPr>
                <w:rFonts w:hint="default"/>
                <w:vertAlign w:val="baseline"/>
                <w:lang w:val="en-US" w:eastAsia="zh-CN"/>
              </w:rPr>
            </w:pPr>
            <w:r>
              <w:rPr>
                <w:rFonts w:hint="default"/>
                <w:vertAlign w:val="baseline"/>
                <w:lang w:val="en-US" w:eastAsia="zh-CN"/>
              </w:rPr>
              <w:t>查询\非居民客户纳税信息查询</w:t>
            </w:r>
          </w:p>
        </w:tc>
        <w:tc>
          <w:tcPr>
            <w:tcW w:w="1186" w:type="pct"/>
            <w:vAlign w:val="center"/>
          </w:tcPr>
          <w:p>
            <w:pPr>
              <w:numPr>
                <w:ilvl w:val="0"/>
                <w:numId w:val="0"/>
              </w:numPr>
              <w:jc w:val="left"/>
              <w:rPr>
                <w:rFonts w:hint="default"/>
                <w:vertAlign w:val="baseline"/>
                <w:lang w:val="en-US" w:eastAsia="zh-CN"/>
              </w:rPr>
            </w:pPr>
            <w:r>
              <w:rPr>
                <w:rFonts w:hint="default"/>
                <w:vertAlign w:val="baseline"/>
                <w:lang w:val="en-US" w:eastAsia="zh-CN"/>
              </w:rPr>
              <w:t>查询\账户\CRS信息查询</w:t>
            </w:r>
          </w:p>
        </w:tc>
        <w:tc>
          <w:tcPr>
            <w:tcW w:w="544"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r>
    </w:tbl>
    <w:p>
      <w:pPr>
        <w:numPr>
          <w:ilvl w:val="0"/>
          <w:numId w:val="0"/>
        </w:numPr>
        <w:rPr>
          <w:rFonts w:hint="default"/>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测试方法</w:t>
      </w:r>
    </w:p>
    <w:p>
      <w:pPr>
        <w:numPr>
          <w:ilvl w:val="0"/>
          <w:numId w:val="0"/>
        </w:numPr>
        <w:ind w:leftChars="0" w:firstLine="420"/>
        <w:rPr>
          <w:rFonts w:hint="eastAsia"/>
          <w:lang w:val="en-US" w:eastAsia="zh-CN"/>
        </w:rPr>
      </w:pPr>
      <w:r>
        <w:rPr>
          <w:rFonts w:hint="eastAsia"/>
          <w:sz w:val="22"/>
          <w:szCs w:val="22"/>
          <w:lang w:val="en-US" w:eastAsia="zh-CN"/>
        </w:rPr>
        <w:t>测试使用黑盒测试法，即通过系统交易和报表查询功能，对比查询结果是否一致；依据金证测试提供的核对标准，核对每个查询交易和报表主要字段值匹配情况，详细情况如下表：</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1"/>
        <w:gridCol w:w="6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tcPr>
          <w:p>
            <w:pPr>
              <w:numPr>
                <w:ilvl w:val="0"/>
                <w:numId w:val="0"/>
              </w:numPr>
              <w:jc w:val="center"/>
              <w:rPr>
                <w:rFonts w:hint="default"/>
                <w:b/>
                <w:bCs/>
                <w:vertAlign w:val="baseline"/>
                <w:lang w:val="en-US" w:eastAsia="zh-CN"/>
              </w:rPr>
            </w:pPr>
            <w:r>
              <w:rPr>
                <w:rFonts w:hint="eastAsia"/>
                <w:b/>
                <w:bCs/>
                <w:vertAlign w:val="baseline"/>
                <w:lang w:val="en-US" w:eastAsia="zh-CN"/>
              </w:rPr>
              <w:t>查询/报表名称</w:t>
            </w:r>
          </w:p>
        </w:tc>
        <w:tc>
          <w:tcPr>
            <w:tcW w:w="3907" w:type="pct"/>
          </w:tcPr>
          <w:p>
            <w:pPr>
              <w:numPr>
                <w:ilvl w:val="0"/>
                <w:numId w:val="0"/>
              </w:numPr>
              <w:jc w:val="center"/>
              <w:rPr>
                <w:rFonts w:hint="default"/>
                <w:b/>
                <w:bCs/>
                <w:vertAlign w:val="baseline"/>
                <w:lang w:val="en-US" w:eastAsia="zh-CN"/>
              </w:rPr>
            </w:pPr>
            <w:r>
              <w:rPr>
                <w:rFonts w:hint="eastAsia"/>
                <w:b/>
                <w:bCs/>
                <w:vertAlign w:val="baseline"/>
                <w:lang w:val="en-US" w:eastAsia="zh-CN"/>
              </w:rPr>
              <w:t>核对标准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受益权余额查询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收益分配方案查询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收益分配汇总查询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收益分配明细查询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分配预计算明细查询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交易确认查询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信托利益分配明细对账单</w:t>
            </w:r>
          </w:p>
        </w:tc>
        <w:tc>
          <w:tcPr>
            <w:tcW w:w="3907" w:type="pct"/>
          </w:tcPr>
          <w:p>
            <w:pPr>
              <w:numPr>
                <w:ilvl w:val="0"/>
                <w:numId w:val="0"/>
              </w:numPr>
              <w:rPr>
                <w:rFonts w:hint="default"/>
                <w:vertAlign w:val="baseline"/>
                <w:lang w:val="en-US" w:eastAsia="zh-CN"/>
              </w:rPr>
            </w:pPr>
            <w:r>
              <w:rPr>
                <w:rFonts w:hint="default"/>
                <w:vertAlign w:val="baseline"/>
                <w:lang w:val="en-US" w:eastAsia="zh-CN"/>
              </w:rPr>
              <w:t>1.新老系统对比核对总计金额（信托本金、本次收益分配金额、售期收益、本次返还信托本金、认购后收费金额、手续费返点金额、资金划拨合计）</w:t>
            </w:r>
          </w:p>
          <w:p>
            <w:pPr>
              <w:numPr>
                <w:ilvl w:val="0"/>
                <w:numId w:val="0"/>
              </w:numPr>
              <w:rPr>
                <w:rFonts w:hint="default"/>
                <w:vertAlign w:val="baseline"/>
                <w:lang w:val="en-US" w:eastAsia="zh-CN"/>
              </w:rPr>
            </w:pPr>
            <w:r>
              <w:rPr>
                <w:rFonts w:hint="default"/>
                <w:vertAlign w:val="baseline"/>
                <w:lang w:val="en-US" w:eastAsia="zh-CN"/>
              </w:rPr>
              <w:t>2.新老系统对比核对总共条数</w:t>
            </w:r>
          </w:p>
          <w:p>
            <w:pPr>
              <w:numPr>
                <w:ilvl w:val="0"/>
                <w:numId w:val="0"/>
              </w:numPr>
              <w:rPr>
                <w:rFonts w:hint="default"/>
                <w:vertAlign w:val="baseline"/>
                <w:lang w:val="en-US" w:eastAsia="zh-CN"/>
              </w:rPr>
            </w:pPr>
            <w:r>
              <w:rPr>
                <w:rFonts w:hint="default"/>
                <w:vertAlign w:val="baseline"/>
                <w:lang w:val="en-US" w:eastAsia="zh-CN"/>
              </w:rPr>
              <w:t>3.新老系统对比导出EXCEL表核对单笔数据的每个字段信息（数据多抽查核对）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受益人名册</w:t>
            </w:r>
          </w:p>
        </w:tc>
        <w:tc>
          <w:tcPr>
            <w:tcW w:w="3907" w:type="pct"/>
          </w:tcPr>
          <w:p>
            <w:pPr>
              <w:numPr>
                <w:ilvl w:val="0"/>
                <w:numId w:val="0"/>
              </w:numPr>
              <w:rPr>
                <w:rFonts w:hint="default"/>
                <w:vertAlign w:val="baseline"/>
                <w:lang w:val="en-US" w:eastAsia="zh-CN"/>
              </w:rPr>
            </w:pPr>
            <w:r>
              <w:rPr>
                <w:rFonts w:hint="default"/>
                <w:vertAlign w:val="baseline"/>
                <w:lang w:val="en-US" w:eastAsia="zh-CN"/>
              </w:rPr>
              <w:t>1.新老系统核对总共条数</w:t>
            </w:r>
          </w:p>
          <w:p>
            <w:pPr>
              <w:numPr>
                <w:ilvl w:val="0"/>
                <w:numId w:val="0"/>
              </w:numPr>
              <w:rPr>
                <w:rFonts w:hint="default"/>
                <w:vertAlign w:val="baseline"/>
                <w:lang w:val="en-US" w:eastAsia="zh-CN"/>
              </w:rPr>
            </w:pPr>
            <w:r>
              <w:rPr>
                <w:rFonts w:hint="default"/>
                <w:vertAlign w:val="baseline"/>
                <w:lang w:val="en-US" w:eastAsia="zh-CN"/>
              </w:rPr>
              <w:t>2.新老系统对比导出EXCEL表核对单笔数据的每个字段信息（数据多抽查核对）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交易确认明细表</w:t>
            </w:r>
          </w:p>
        </w:tc>
        <w:tc>
          <w:tcPr>
            <w:tcW w:w="3907" w:type="pct"/>
          </w:tcPr>
          <w:p>
            <w:pPr>
              <w:numPr>
                <w:ilvl w:val="0"/>
                <w:numId w:val="0"/>
              </w:numPr>
              <w:rPr>
                <w:rFonts w:hint="default"/>
                <w:vertAlign w:val="baseline"/>
                <w:lang w:val="en-US" w:eastAsia="zh-CN"/>
              </w:rPr>
            </w:pPr>
            <w:r>
              <w:rPr>
                <w:rFonts w:hint="default"/>
                <w:vertAlign w:val="baseline"/>
                <w:lang w:val="en-US" w:eastAsia="zh-CN"/>
              </w:rPr>
              <w:t>1.新老系统对比核对合计（申请份额、确认份额、申请金额、确认金额、手续费、业绩报酬、派发金额）</w:t>
            </w:r>
          </w:p>
          <w:p>
            <w:pPr>
              <w:numPr>
                <w:ilvl w:val="0"/>
                <w:numId w:val="0"/>
              </w:numPr>
              <w:rPr>
                <w:rFonts w:hint="default"/>
                <w:vertAlign w:val="baseline"/>
                <w:lang w:val="en-US" w:eastAsia="zh-CN"/>
              </w:rPr>
            </w:pPr>
            <w:r>
              <w:rPr>
                <w:rFonts w:hint="default"/>
                <w:vertAlign w:val="baseline"/>
                <w:lang w:val="en-US" w:eastAsia="zh-CN"/>
              </w:rPr>
              <w:t>2.新老系统对比核对总共条数</w:t>
            </w:r>
          </w:p>
          <w:p>
            <w:pPr>
              <w:numPr>
                <w:ilvl w:val="0"/>
                <w:numId w:val="0"/>
              </w:numPr>
              <w:rPr>
                <w:rFonts w:hint="default"/>
                <w:vertAlign w:val="baseline"/>
                <w:lang w:val="en-US" w:eastAsia="zh-CN"/>
              </w:rPr>
            </w:pPr>
            <w:r>
              <w:rPr>
                <w:rFonts w:hint="default"/>
                <w:vertAlign w:val="baseline"/>
                <w:lang w:val="en-US" w:eastAsia="zh-CN"/>
              </w:rPr>
              <w:t>3.新老系统对比导出EXCEL表核对单笔数据的每个字段信息（数据多抽查核对）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赎回对账单</w:t>
            </w:r>
          </w:p>
        </w:tc>
        <w:tc>
          <w:tcPr>
            <w:tcW w:w="3907" w:type="pct"/>
          </w:tcPr>
          <w:p>
            <w:pPr>
              <w:numPr>
                <w:ilvl w:val="0"/>
                <w:numId w:val="0"/>
              </w:numPr>
              <w:rPr>
                <w:rFonts w:hint="default"/>
                <w:vertAlign w:val="baseline"/>
                <w:lang w:val="en-US" w:eastAsia="zh-CN"/>
              </w:rPr>
            </w:pPr>
            <w:r>
              <w:rPr>
                <w:rFonts w:hint="default"/>
                <w:vertAlign w:val="baseline"/>
                <w:lang w:val="en-US" w:eastAsia="zh-CN"/>
              </w:rPr>
              <w:t>1.新老系统对比核对合计（小合同总数、开放前份额、本日认购哦金额、本日赎回金额、本日赎回份额、本开放日后份额）</w:t>
            </w:r>
          </w:p>
          <w:p>
            <w:pPr>
              <w:numPr>
                <w:ilvl w:val="0"/>
                <w:numId w:val="0"/>
              </w:numPr>
              <w:rPr>
                <w:rFonts w:hint="default"/>
                <w:vertAlign w:val="baseline"/>
                <w:lang w:val="en-US" w:eastAsia="zh-CN"/>
              </w:rPr>
            </w:pPr>
            <w:r>
              <w:rPr>
                <w:rFonts w:hint="default"/>
                <w:vertAlign w:val="baseline"/>
                <w:lang w:val="en-US" w:eastAsia="zh-CN"/>
              </w:rPr>
              <w:t>2.新老系统对比核对总共条数</w:t>
            </w:r>
          </w:p>
          <w:p>
            <w:pPr>
              <w:numPr>
                <w:ilvl w:val="0"/>
                <w:numId w:val="0"/>
              </w:numPr>
              <w:rPr>
                <w:rFonts w:hint="default"/>
                <w:vertAlign w:val="baseline"/>
                <w:lang w:val="en-US" w:eastAsia="zh-CN"/>
              </w:rPr>
            </w:pPr>
            <w:r>
              <w:rPr>
                <w:rFonts w:hint="default"/>
                <w:vertAlign w:val="baseline"/>
                <w:lang w:val="en-US" w:eastAsia="zh-CN"/>
              </w:rPr>
              <w:t>3.新老系统对比导出EXCEL表核对单笔数据的每个字段信息（数据多抽查核对）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信托份额明细表</w:t>
            </w:r>
          </w:p>
        </w:tc>
        <w:tc>
          <w:tcPr>
            <w:tcW w:w="3907" w:type="pct"/>
          </w:tcPr>
          <w:p>
            <w:pPr>
              <w:numPr>
                <w:ilvl w:val="0"/>
                <w:numId w:val="0"/>
              </w:numPr>
              <w:rPr>
                <w:rFonts w:hint="default"/>
                <w:vertAlign w:val="baseline"/>
                <w:lang w:val="en-US" w:eastAsia="zh-CN"/>
              </w:rPr>
            </w:pPr>
            <w:r>
              <w:rPr>
                <w:rFonts w:hint="default"/>
                <w:vertAlign w:val="baseline"/>
                <w:lang w:val="en-US" w:eastAsia="zh-CN"/>
              </w:rPr>
              <w:t>1.新老系统对比核对合计（小合同总数、开放前份额、本日认购金额、本日赎回金额、本日赎回份额、本开放日后份额）</w:t>
            </w:r>
          </w:p>
          <w:p>
            <w:pPr>
              <w:numPr>
                <w:ilvl w:val="0"/>
                <w:numId w:val="0"/>
              </w:numPr>
              <w:rPr>
                <w:rFonts w:hint="default"/>
                <w:vertAlign w:val="baseline"/>
                <w:lang w:val="en-US" w:eastAsia="zh-CN"/>
              </w:rPr>
            </w:pPr>
            <w:r>
              <w:rPr>
                <w:rFonts w:hint="default"/>
                <w:vertAlign w:val="baseline"/>
                <w:lang w:val="en-US" w:eastAsia="zh-CN"/>
              </w:rPr>
              <w:t>2.新老系统对比核对总共条数</w:t>
            </w:r>
          </w:p>
          <w:p>
            <w:pPr>
              <w:numPr>
                <w:ilvl w:val="0"/>
                <w:numId w:val="0"/>
              </w:numPr>
              <w:rPr>
                <w:rFonts w:hint="default"/>
                <w:vertAlign w:val="baseline"/>
                <w:lang w:val="en-US" w:eastAsia="zh-CN"/>
              </w:rPr>
            </w:pPr>
            <w:r>
              <w:rPr>
                <w:rFonts w:hint="default"/>
                <w:vertAlign w:val="baseline"/>
                <w:lang w:val="en-US" w:eastAsia="zh-CN"/>
              </w:rPr>
              <w:t>3.新老系统对比导出EXCEL表核对单笔数据的每个字段信息（数据多抽查核对）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资金证明书</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收益分配特殊情况处理单</w:t>
            </w:r>
          </w:p>
        </w:tc>
        <w:tc>
          <w:tcPr>
            <w:tcW w:w="3907" w:type="pct"/>
          </w:tcPr>
          <w:p>
            <w:pPr>
              <w:numPr>
                <w:ilvl w:val="0"/>
                <w:numId w:val="0"/>
              </w:numPr>
              <w:rPr>
                <w:rFonts w:hint="default"/>
                <w:vertAlign w:val="baseline"/>
                <w:lang w:val="en-US" w:eastAsia="zh-CN"/>
              </w:rPr>
            </w:pPr>
            <w:r>
              <w:rPr>
                <w:rFonts w:hint="default"/>
                <w:vertAlign w:val="baseline"/>
                <w:lang w:val="en-US" w:eastAsia="zh-CN"/>
              </w:rPr>
              <w:t>1.查询某一些项目，核算新老系统条数</w:t>
            </w:r>
          </w:p>
          <w:p>
            <w:pPr>
              <w:numPr>
                <w:ilvl w:val="0"/>
                <w:numId w:val="0"/>
              </w:numPr>
              <w:rPr>
                <w:rFonts w:hint="default"/>
                <w:vertAlign w:val="baseline"/>
                <w:lang w:val="en-US" w:eastAsia="zh-CN"/>
              </w:rPr>
            </w:pPr>
            <w:r>
              <w:rPr>
                <w:rFonts w:hint="default"/>
                <w:vertAlign w:val="baseline"/>
                <w:lang w:val="en-US" w:eastAsia="zh-CN"/>
              </w:rPr>
              <w:t>2.按项目查询出后，导出EXCEL表，新老系统核对每个字段值（数据多抽查核对）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收益分配补充划款单</w:t>
            </w:r>
          </w:p>
        </w:tc>
        <w:tc>
          <w:tcPr>
            <w:tcW w:w="3907" w:type="pct"/>
          </w:tcPr>
          <w:p>
            <w:pPr>
              <w:numPr>
                <w:ilvl w:val="0"/>
                <w:numId w:val="0"/>
              </w:numPr>
              <w:rPr>
                <w:rFonts w:hint="default"/>
                <w:vertAlign w:val="baseline"/>
                <w:lang w:val="en-US" w:eastAsia="zh-CN"/>
              </w:rPr>
            </w:pPr>
            <w:r>
              <w:rPr>
                <w:rFonts w:hint="default"/>
                <w:vertAlign w:val="baseline"/>
                <w:lang w:val="en-US" w:eastAsia="zh-CN"/>
              </w:rPr>
              <w:t>1.查询某一些项目，核算新老系统条数</w:t>
            </w:r>
          </w:p>
          <w:p>
            <w:pPr>
              <w:numPr>
                <w:ilvl w:val="0"/>
                <w:numId w:val="0"/>
              </w:numPr>
              <w:rPr>
                <w:rFonts w:hint="default"/>
                <w:vertAlign w:val="baseline"/>
                <w:lang w:val="en-US" w:eastAsia="zh-CN"/>
              </w:rPr>
            </w:pPr>
            <w:r>
              <w:rPr>
                <w:rFonts w:hint="default"/>
                <w:vertAlign w:val="baseline"/>
                <w:lang w:val="en-US" w:eastAsia="zh-CN"/>
              </w:rPr>
              <w:t>2.按项目查询出后，导出EXCEL表，新老系统核对每个字段值（数据多抽查核对）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受益权信息查询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合同信息查询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账户确认查询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2.按销售商查询出账户信息，核对新老系统条数</w:t>
            </w:r>
          </w:p>
          <w:p>
            <w:pPr>
              <w:numPr>
                <w:ilvl w:val="0"/>
                <w:numId w:val="0"/>
              </w:numPr>
              <w:rPr>
                <w:rFonts w:hint="default"/>
                <w:vertAlign w:val="baseline"/>
                <w:lang w:val="en-US" w:eastAsia="zh-CN"/>
              </w:rPr>
            </w:pPr>
            <w:r>
              <w:rPr>
                <w:rFonts w:hint="default"/>
                <w:vertAlign w:val="baseline"/>
                <w:lang w:val="en-US" w:eastAsia="zh-CN"/>
              </w:rPr>
              <w:t>3.按销售商查询出账户信息，导出EXCEL表，新老系统核对每个字段值（数据多抽查核对）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客户信息查询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2.按销售商查询出账户信息，核对新老系统条数</w:t>
            </w:r>
          </w:p>
          <w:p>
            <w:pPr>
              <w:numPr>
                <w:ilvl w:val="0"/>
                <w:numId w:val="0"/>
              </w:numPr>
              <w:rPr>
                <w:rFonts w:hint="default"/>
                <w:vertAlign w:val="baseline"/>
                <w:lang w:val="en-US" w:eastAsia="zh-CN"/>
              </w:rPr>
            </w:pPr>
            <w:r>
              <w:rPr>
                <w:rFonts w:hint="default"/>
                <w:vertAlign w:val="baseline"/>
                <w:lang w:val="en-US" w:eastAsia="zh-CN"/>
              </w:rPr>
              <w:t>3.按销售商查询出账户信息，导出EXCEL表，新老系统核对每个字段值（数据多抽查核对）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受益权返还账户查询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交易申请查询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计划信息查询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销售登记查询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计划销售登记表</w:t>
            </w:r>
          </w:p>
        </w:tc>
        <w:tc>
          <w:tcPr>
            <w:tcW w:w="3907" w:type="pct"/>
          </w:tcPr>
          <w:p>
            <w:pPr>
              <w:numPr>
                <w:ilvl w:val="0"/>
                <w:numId w:val="0"/>
              </w:numPr>
              <w:rPr>
                <w:rFonts w:hint="default"/>
                <w:vertAlign w:val="baseline"/>
                <w:lang w:val="en-US" w:eastAsia="zh-CN"/>
              </w:rPr>
            </w:pPr>
            <w:r>
              <w:rPr>
                <w:rFonts w:hint="default"/>
                <w:vertAlign w:val="baseline"/>
                <w:lang w:val="en-US" w:eastAsia="zh-CN"/>
              </w:rPr>
              <w:t>1.新老系统对比核对合计</w:t>
            </w:r>
          </w:p>
          <w:p>
            <w:pPr>
              <w:numPr>
                <w:ilvl w:val="0"/>
                <w:numId w:val="0"/>
              </w:numPr>
              <w:rPr>
                <w:rFonts w:hint="default"/>
                <w:vertAlign w:val="baseline"/>
                <w:lang w:val="en-US" w:eastAsia="zh-CN"/>
              </w:rPr>
            </w:pPr>
            <w:r>
              <w:rPr>
                <w:rFonts w:hint="default"/>
                <w:vertAlign w:val="baseline"/>
                <w:lang w:val="en-US" w:eastAsia="zh-CN"/>
              </w:rPr>
              <w:t>2.新老系统对比核对总共条数</w:t>
            </w:r>
          </w:p>
          <w:p>
            <w:pPr>
              <w:numPr>
                <w:ilvl w:val="0"/>
                <w:numId w:val="0"/>
              </w:numPr>
              <w:rPr>
                <w:rFonts w:hint="default"/>
                <w:vertAlign w:val="baseline"/>
                <w:lang w:val="en-US" w:eastAsia="zh-CN"/>
              </w:rPr>
            </w:pPr>
            <w:r>
              <w:rPr>
                <w:rFonts w:hint="default"/>
                <w:vertAlign w:val="baseline"/>
                <w:lang w:val="en-US" w:eastAsia="zh-CN"/>
              </w:rPr>
              <w:t>3.新老系统对比导出EXCEL表核对单笔数据的每个字段信息（数据多抽查核对）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投顾转份额确认明细表</w:t>
            </w:r>
          </w:p>
        </w:tc>
        <w:tc>
          <w:tcPr>
            <w:tcW w:w="3907" w:type="pct"/>
          </w:tcPr>
          <w:p>
            <w:pPr>
              <w:numPr>
                <w:ilvl w:val="0"/>
                <w:numId w:val="0"/>
              </w:numPr>
              <w:rPr>
                <w:rFonts w:hint="default"/>
                <w:vertAlign w:val="baseline"/>
                <w:lang w:val="en-US" w:eastAsia="zh-CN"/>
              </w:rPr>
            </w:pPr>
            <w:r>
              <w:rPr>
                <w:rFonts w:hint="default"/>
                <w:vertAlign w:val="baseline"/>
                <w:lang w:val="en-US" w:eastAsia="zh-CN"/>
              </w:rPr>
              <w:t>1.新老系统对比核对合计</w:t>
            </w:r>
          </w:p>
          <w:p>
            <w:pPr>
              <w:numPr>
                <w:ilvl w:val="0"/>
                <w:numId w:val="0"/>
              </w:numPr>
              <w:rPr>
                <w:rFonts w:hint="default"/>
                <w:vertAlign w:val="baseline"/>
                <w:lang w:val="en-US" w:eastAsia="zh-CN"/>
              </w:rPr>
            </w:pPr>
            <w:r>
              <w:rPr>
                <w:rFonts w:hint="default"/>
                <w:vertAlign w:val="baseline"/>
                <w:lang w:val="en-US" w:eastAsia="zh-CN"/>
              </w:rPr>
              <w:t>2.新老系统对比核对总共条数</w:t>
            </w:r>
          </w:p>
          <w:p>
            <w:pPr>
              <w:numPr>
                <w:ilvl w:val="0"/>
                <w:numId w:val="0"/>
              </w:numPr>
              <w:rPr>
                <w:rFonts w:hint="default"/>
                <w:vertAlign w:val="baseline"/>
                <w:lang w:val="en-US" w:eastAsia="zh-CN"/>
              </w:rPr>
            </w:pPr>
            <w:r>
              <w:rPr>
                <w:rFonts w:hint="default"/>
                <w:vertAlign w:val="baseline"/>
                <w:lang w:val="en-US" w:eastAsia="zh-CN"/>
              </w:rPr>
              <w:t>3.新老系统对比导出EXCEL表核对单笔数据的每个字段信息（数据多抽查核对）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信托合同信息表</w:t>
            </w:r>
          </w:p>
        </w:tc>
        <w:tc>
          <w:tcPr>
            <w:tcW w:w="3907" w:type="pct"/>
          </w:tcPr>
          <w:p>
            <w:pPr>
              <w:numPr>
                <w:ilvl w:val="0"/>
                <w:numId w:val="0"/>
              </w:numPr>
              <w:rPr>
                <w:rFonts w:hint="default"/>
                <w:vertAlign w:val="baseline"/>
                <w:lang w:val="en-US" w:eastAsia="zh-CN"/>
              </w:rPr>
            </w:pPr>
            <w:r>
              <w:rPr>
                <w:rFonts w:hint="default"/>
                <w:vertAlign w:val="baseline"/>
                <w:lang w:val="en-US" w:eastAsia="zh-CN"/>
              </w:rPr>
              <w:t>1.新老系统对比核对合计</w:t>
            </w:r>
          </w:p>
          <w:p>
            <w:pPr>
              <w:numPr>
                <w:ilvl w:val="0"/>
                <w:numId w:val="0"/>
              </w:numPr>
              <w:rPr>
                <w:rFonts w:hint="default"/>
                <w:vertAlign w:val="baseline"/>
                <w:lang w:val="en-US" w:eastAsia="zh-CN"/>
              </w:rPr>
            </w:pPr>
            <w:r>
              <w:rPr>
                <w:rFonts w:hint="default"/>
                <w:vertAlign w:val="baseline"/>
                <w:lang w:val="en-US" w:eastAsia="zh-CN"/>
              </w:rPr>
              <w:t>2.新老系统对比核对总共条数</w:t>
            </w:r>
          </w:p>
          <w:p>
            <w:pPr>
              <w:numPr>
                <w:ilvl w:val="0"/>
                <w:numId w:val="0"/>
              </w:numPr>
              <w:rPr>
                <w:rFonts w:hint="default"/>
                <w:vertAlign w:val="baseline"/>
                <w:lang w:val="en-US" w:eastAsia="zh-CN"/>
              </w:rPr>
            </w:pPr>
            <w:r>
              <w:rPr>
                <w:rFonts w:hint="default"/>
                <w:vertAlign w:val="baseline"/>
                <w:lang w:val="en-US" w:eastAsia="zh-CN"/>
              </w:rPr>
              <w:t>3.新老系统对比导出EXCEL表核对单笔数据的每个字段信息（数据多抽查核对）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现金管理类汇总查询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1.输入日期，日期为工作日，从20200601到20201231日，核对每个字段值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交易导出查询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2.按销售商查询出账户信息，核对新老系统条数</w:t>
            </w:r>
          </w:p>
          <w:p>
            <w:pPr>
              <w:numPr>
                <w:ilvl w:val="0"/>
                <w:numId w:val="0"/>
              </w:numPr>
              <w:rPr>
                <w:rFonts w:hint="default"/>
                <w:vertAlign w:val="baseline"/>
                <w:lang w:val="en-US" w:eastAsia="zh-CN"/>
              </w:rPr>
            </w:pPr>
            <w:r>
              <w:rPr>
                <w:rFonts w:hint="default"/>
                <w:vertAlign w:val="baseline"/>
                <w:lang w:val="en-US" w:eastAsia="zh-CN"/>
              </w:rPr>
              <w:t>3.按销售商查询出账户信息，导出EXCEL表，新老系统核对每个字段值（数据多抽查核对）</w:t>
            </w:r>
          </w:p>
          <w:p>
            <w:pPr>
              <w:numPr>
                <w:ilvl w:val="0"/>
                <w:numId w:val="0"/>
              </w:numPr>
              <w:rPr>
                <w:rFonts w:hint="default"/>
                <w:vertAlign w:val="baseline"/>
                <w:lang w:val="en-US" w:eastAsia="zh-CN"/>
              </w:rPr>
            </w:pPr>
            <w:r>
              <w:rPr>
                <w:rFonts w:hint="default"/>
                <w:vertAlign w:val="baseline"/>
                <w:lang w:val="en-US" w:eastAsia="zh-CN"/>
              </w:rPr>
              <w:t>4.销售商查询的数据太多，没法对比可以用查询出的销售商下的某些项目查询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收益导出查询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2.按销售商查询出账户信息，核对新老系统条数</w:t>
            </w:r>
          </w:p>
          <w:p>
            <w:pPr>
              <w:numPr>
                <w:ilvl w:val="0"/>
                <w:numId w:val="0"/>
              </w:numPr>
              <w:rPr>
                <w:rFonts w:hint="default"/>
                <w:vertAlign w:val="baseline"/>
                <w:lang w:val="en-US" w:eastAsia="zh-CN"/>
              </w:rPr>
            </w:pPr>
            <w:r>
              <w:rPr>
                <w:rFonts w:hint="default"/>
                <w:vertAlign w:val="baseline"/>
                <w:lang w:val="en-US" w:eastAsia="zh-CN"/>
              </w:rPr>
              <w:t>3.按销售商查询出账户信息，导出EXCEL表，新老系统核对每个字段值（数据多抽查核对）</w:t>
            </w:r>
          </w:p>
          <w:p>
            <w:pPr>
              <w:numPr>
                <w:ilvl w:val="0"/>
                <w:numId w:val="0"/>
              </w:numPr>
              <w:rPr>
                <w:rFonts w:hint="default"/>
                <w:vertAlign w:val="baseline"/>
                <w:lang w:val="en-US" w:eastAsia="zh-CN"/>
              </w:rPr>
            </w:pPr>
            <w:r>
              <w:rPr>
                <w:rFonts w:hint="default"/>
                <w:vertAlign w:val="baseline"/>
                <w:lang w:val="en-US" w:eastAsia="zh-CN"/>
              </w:rPr>
              <w:t>4.销售商查询的数据太多，没法对比可以用查询出的销售商下的某些项目查询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资金来源数据统计</w:t>
            </w:r>
          </w:p>
        </w:tc>
        <w:tc>
          <w:tcPr>
            <w:tcW w:w="3907" w:type="pct"/>
          </w:tcPr>
          <w:p>
            <w:pPr>
              <w:numPr>
                <w:ilvl w:val="0"/>
                <w:numId w:val="0"/>
              </w:numPr>
              <w:rPr>
                <w:rFonts w:hint="default"/>
                <w:vertAlign w:val="baseline"/>
                <w:lang w:val="en-US" w:eastAsia="zh-CN"/>
              </w:rPr>
            </w:pPr>
            <w:r>
              <w:rPr>
                <w:rFonts w:hint="default"/>
                <w:vertAlign w:val="baseline"/>
                <w:lang w:val="en-US" w:eastAsia="zh-CN"/>
              </w:rPr>
              <w:t>1.查询日期输入20201231，核对新老系统条数</w:t>
            </w:r>
          </w:p>
          <w:p>
            <w:pPr>
              <w:numPr>
                <w:ilvl w:val="0"/>
                <w:numId w:val="0"/>
              </w:numPr>
              <w:rPr>
                <w:rFonts w:hint="default"/>
                <w:vertAlign w:val="baseline"/>
                <w:lang w:val="en-US" w:eastAsia="zh-CN"/>
              </w:rPr>
            </w:pPr>
            <w:r>
              <w:rPr>
                <w:rFonts w:hint="default"/>
                <w:vertAlign w:val="baseline"/>
                <w:lang w:val="en-US" w:eastAsia="zh-CN"/>
              </w:rPr>
              <w:t>2.导出EXCEL表，新老系统核对每个字段值（数据多抽查核对）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批量导出分配对账单</w:t>
            </w:r>
          </w:p>
        </w:tc>
        <w:tc>
          <w:tcPr>
            <w:tcW w:w="3907" w:type="pct"/>
          </w:tcPr>
          <w:p>
            <w:pPr>
              <w:numPr>
                <w:ilvl w:val="0"/>
                <w:numId w:val="0"/>
              </w:numPr>
              <w:rPr>
                <w:rFonts w:hint="default"/>
                <w:vertAlign w:val="baseline"/>
                <w:lang w:val="en-US" w:eastAsia="zh-CN"/>
              </w:rPr>
            </w:pPr>
            <w:r>
              <w:rPr>
                <w:rFonts w:hint="default"/>
                <w:vertAlign w:val="baseline"/>
                <w:lang w:val="en-US" w:eastAsia="zh-CN"/>
              </w:rPr>
              <w:t>1.分配日输入20201231，核对新老系统条数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批量导出开放日表</w:t>
            </w:r>
          </w:p>
        </w:tc>
        <w:tc>
          <w:tcPr>
            <w:tcW w:w="3907" w:type="pct"/>
          </w:tcPr>
          <w:p>
            <w:pPr>
              <w:numPr>
                <w:ilvl w:val="0"/>
                <w:numId w:val="0"/>
              </w:numPr>
              <w:rPr>
                <w:rFonts w:hint="default"/>
                <w:vertAlign w:val="baseline"/>
                <w:lang w:val="en-US" w:eastAsia="zh-CN"/>
              </w:rPr>
            </w:pPr>
            <w:r>
              <w:rPr>
                <w:rFonts w:hint="default"/>
                <w:vertAlign w:val="baseline"/>
                <w:lang w:val="en-US" w:eastAsia="zh-CN"/>
              </w:rPr>
              <w:t>1.开放日输入20200622、20200720、20200821、20200918、20200921、20201020、20201120、20201218、20201221，核对新老系统条数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净值信息查询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销售数据统计</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2.查询某一些项目，核算新老系统条数</w:t>
            </w:r>
          </w:p>
          <w:p>
            <w:pPr>
              <w:numPr>
                <w:ilvl w:val="0"/>
                <w:numId w:val="0"/>
              </w:numPr>
              <w:rPr>
                <w:rFonts w:hint="default"/>
                <w:vertAlign w:val="baseline"/>
                <w:lang w:val="en-US" w:eastAsia="zh-CN"/>
              </w:rPr>
            </w:pPr>
            <w:r>
              <w:rPr>
                <w:rFonts w:hint="default"/>
                <w:vertAlign w:val="baseline"/>
                <w:lang w:val="en-US" w:eastAsia="zh-CN"/>
              </w:rPr>
              <w:t>3.按项目查询出后，导出EXCEL表，新老系统核对每个字段值（数据多抽查核对）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pct"/>
            <w:vAlign w:val="center"/>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eastAsia="zh-CN"/>
              </w:rPr>
              <w:t>非居民客户纳税信息查询</w:t>
            </w:r>
          </w:p>
        </w:tc>
        <w:tc>
          <w:tcPr>
            <w:tcW w:w="3907" w:type="pct"/>
          </w:tcPr>
          <w:p>
            <w:pPr>
              <w:numPr>
                <w:ilvl w:val="0"/>
                <w:numId w:val="0"/>
              </w:numPr>
              <w:rPr>
                <w:rFonts w:hint="default"/>
                <w:vertAlign w:val="baseline"/>
                <w:lang w:val="en-US" w:eastAsia="zh-CN"/>
              </w:rPr>
            </w:pPr>
            <w:r>
              <w:rPr>
                <w:rFonts w:hint="default"/>
                <w:vertAlign w:val="baseline"/>
                <w:lang w:val="en-US" w:eastAsia="zh-CN"/>
              </w:rPr>
              <w:t>1.不输入条件全部查询出，核对新老系统条数</w:t>
            </w:r>
          </w:p>
          <w:p>
            <w:pPr>
              <w:numPr>
                <w:ilvl w:val="0"/>
                <w:numId w:val="0"/>
              </w:numPr>
              <w:rPr>
                <w:rFonts w:hint="default"/>
                <w:vertAlign w:val="baseline"/>
                <w:lang w:val="en-US" w:eastAsia="zh-CN"/>
              </w:rPr>
            </w:pPr>
            <w:r>
              <w:rPr>
                <w:rFonts w:hint="default"/>
                <w:vertAlign w:val="baseline"/>
                <w:lang w:val="en-US" w:eastAsia="zh-CN"/>
              </w:rPr>
              <w:t>2.按销售商查询出账户信息，核对新老系统条数</w:t>
            </w:r>
          </w:p>
          <w:p>
            <w:pPr>
              <w:numPr>
                <w:ilvl w:val="0"/>
                <w:numId w:val="0"/>
              </w:numPr>
              <w:rPr>
                <w:rFonts w:hint="default"/>
                <w:vertAlign w:val="baseline"/>
                <w:lang w:val="en-US" w:eastAsia="zh-CN"/>
              </w:rPr>
            </w:pPr>
            <w:r>
              <w:rPr>
                <w:rFonts w:hint="default"/>
                <w:vertAlign w:val="baseline"/>
                <w:lang w:val="en-US" w:eastAsia="zh-CN"/>
              </w:rPr>
              <w:t>3.按销售商查询出账户信息，导出EXCEL表，新老系统核对每个字段值（数据多抽查核对）</w:t>
            </w:r>
          </w:p>
        </w:tc>
      </w:tr>
    </w:tbl>
    <w:p>
      <w:pPr>
        <w:numPr>
          <w:ilvl w:val="0"/>
          <w:numId w:val="0"/>
        </w:numPr>
        <w:ind w:leftChars="0" w:firstLine="420"/>
        <w:rPr>
          <w:rFonts w:hint="eastAsia"/>
          <w:sz w:val="22"/>
          <w:szCs w:val="22"/>
          <w:lang w:val="en-US" w:eastAsia="zh-CN"/>
        </w:rPr>
      </w:pPr>
      <w:r>
        <w:rPr>
          <w:rFonts w:hint="eastAsia"/>
          <w:sz w:val="22"/>
          <w:szCs w:val="22"/>
          <w:lang w:val="en-US" w:eastAsia="zh-CN"/>
        </w:rPr>
        <w:t>说明：</w:t>
      </w:r>
    </w:p>
    <w:p>
      <w:pPr>
        <w:numPr>
          <w:ilvl w:val="0"/>
          <w:numId w:val="3"/>
        </w:numPr>
        <w:ind w:leftChars="0" w:firstLine="420"/>
        <w:rPr>
          <w:rFonts w:hint="eastAsia"/>
          <w:sz w:val="22"/>
          <w:szCs w:val="22"/>
          <w:lang w:val="en-US" w:eastAsia="zh-CN"/>
        </w:rPr>
      </w:pPr>
      <w:r>
        <w:rPr>
          <w:rFonts w:hint="eastAsia"/>
          <w:sz w:val="22"/>
          <w:szCs w:val="22"/>
          <w:lang w:val="en-US" w:eastAsia="zh-CN"/>
        </w:rPr>
        <w:t>因数据量大，核对时，按集合计划、单一计划、家族信托分别进行数据抽查；</w:t>
      </w:r>
    </w:p>
    <w:p>
      <w:pPr>
        <w:numPr>
          <w:ilvl w:val="0"/>
          <w:numId w:val="3"/>
        </w:numPr>
        <w:ind w:leftChars="0" w:firstLine="420"/>
        <w:rPr>
          <w:rFonts w:hint="default"/>
          <w:sz w:val="22"/>
          <w:szCs w:val="22"/>
          <w:lang w:val="en-US" w:eastAsia="zh-CN"/>
        </w:rPr>
      </w:pPr>
      <w:r>
        <w:rPr>
          <w:rFonts w:hint="eastAsia"/>
          <w:sz w:val="22"/>
          <w:szCs w:val="22"/>
          <w:lang w:val="en-US" w:eastAsia="zh-CN"/>
        </w:rPr>
        <w:t>当某一类项目发现问题时，抽取更多同类型项目进行核对，以每10笔数据发现问题数进行计算，当发现的新的问题比例递减至0%时，暂停核对该类型，换其他类型项目核对；</w:t>
      </w:r>
    </w:p>
    <w:p>
      <w:pPr>
        <w:numPr>
          <w:ilvl w:val="0"/>
          <w:numId w:val="3"/>
        </w:numPr>
        <w:ind w:leftChars="0" w:firstLine="420"/>
        <w:rPr>
          <w:rFonts w:hint="default"/>
          <w:sz w:val="22"/>
          <w:szCs w:val="22"/>
          <w:lang w:val="en-US" w:eastAsia="zh-CN"/>
        </w:rPr>
      </w:pPr>
      <w:r>
        <w:rPr>
          <w:rFonts w:hint="eastAsia"/>
          <w:sz w:val="22"/>
          <w:szCs w:val="22"/>
          <w:lang w:val="en-US" w:eastAsia="zh-CN"/>
        </w:rPr>
        <w:t>当某个查询/报表问题较严重，且暂未解决时，暂停核对该查询/报表，换其他查询/报表进行核对，以保证测试进度不受较大影响；</w:t>
      </w:r>
    </w:p>
    <w:p>
      <w:pPr>
        <w:numPr>
          <w:ilvl w:val="0"/>
          <w:numId w:val="3"/>
        </w:numPr>
        <w:ind w:leftChars="0" w:firstLine="420"/>
        <w:rPr>
          <w:rFonts w:hint="default"/>
          <w:sz w:val="22"/>
          <w:szCs w:val="22"/>
          <w:lang w:val="en-US" w:eastAsia="zh-CN"/>
        </w:rPr>
      </w:pPr>
      <w:r>
        <w:rPr>
          <w:rFonts w:hint="eastAsia"/>
          <w:sz w:val="22"/>
          <w:szCs w:val="22"/>
          <w:lang w:val="en-US" w:eastAsia="zh-CN"/>
        </w:rPr>
        <w:t>当提出的问题开发人员处理完成后，首先用发现问题的项目进行验证，验证通过后，继续抽取至少10笔同类型项目进行抽查核对，若未发现问题，则认为此问题已解决；</w:t>
      </w:r>
    </w:p>
    <w:p>
      <w:pPr>
        <w:pStyle w:val="5"/>
        <w:numPr>
          <w:ilvl w:val="2"/>
          <w:numId w:val="2"/>
        </w:numPr>
        <w:bidi w:val="0"/>
        <w:ind w:left="0" w:leftChars="0" w:firstLine="0" w:firstLineChars="0"/>
        <w:rPr>
          <w:rFonts w:hint="eastAsia"/>
          <w:lang w:val="en-US" w:eastAsia="zh-CN"/>
        </w:rPr>
      </w:pPr>
      <w:r>
        <w:rPr>
          <w:rFonts w:hint="eastAsia"/>
          <w:lang w:val="en-US" w:eastAsia="zh-CN"/>
        </w:rPr>
        <w:t>缺陷统计分析</w:t>
      </w:r>
    </w:p>
    <w:p>
      <w:pPr>
        <w:numPr>
          <w:ilvl w:val="0"/>
          <w:numId w:val="0"/>
        </w:numPr>
        <w:ind w:leftChars="0"/>
        <w:rPr>
          <w:rFonts w:hint="eastAsia"/>
          <w:lang w:val="en-US" w:eastAsia="zh-CN"/>
        </w:rPr>
      </w:pPr>
      <w:r>
        <w:rPr>
          <w:rFonts w:hint="eastAsia"/>
          <w:lang w:val="en-US" w:eastAsia="zh-CN"/>
        </w:rPr>
        <w:t xml:space="preserve">  测试过程中发现的问题，测试人员以过程留痕为原则进行登记，由金证测试和开发人员进行分析定位，确定问题属性及处理方式，问题分类如下：</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936"/>
        <w:gridCol w:w="1194"/>
        <w:gridCol w:w="916"/>
        <w:gridCol w:w="930"/>
        <w:gridCol w:w="960"/>
        <w:gridCol w:w="1191"/>
        <w:gridCol w:w="1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报表优先级</w:t>
            </w:r>
          </w:p>
        </w:tc>
        <w:tc>
          <w:tcPr>
            <w:tcW w:w="549"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提交问题数</w:t>
            </w:r>
          </w:p>
        </w:tc>
        <w:tc>
          <w:tcPr>
            <w:tcW w:w="70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确认有效缺陷数</w:t>
            </w:r>
          </w:p>
        </w:tc>
        <w:tc>
          <w:tcPr>
            <w:tcW w:w="537"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有效缺陷率</w:t>
            </w:r>
          </w:p>
        </w:tc>
        <w:tc>
          <w:tcPr>
            <w:tcW w:w="545"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已解决缺陷数</w:t>
            </w:r>
          </w:p>
        </w:tc>
        <w:tc>
          <w:tcPr>
            <w:tcW w:w="563"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未解决缺陷数</w:t>
            </w:r>
          </w:p>
        </w:tc>
        <w:tc>
          <w:tcPr>
            <w:tcW w:w="698"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数据类缺陷数</w:t>
            </w:r>
          </w:p>
        </w:tc>
        <w:tc>
          <w:tcPr>
            <w:tcW w:w="78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功能类缺陷数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549" w:type="pct"/>
            <w:vAlign w:val="center"/>
          </w:tcPr>
          <w:p>
            <w:pPr>
              <w:numPr>
                <w:ilvl w:val="0"/>
                <w:numId w:val="0"/>
              </w:numPr>
              <w:jc w:val="center"/>
              <w:rPr>
                <w:rFonts w:hint="default"/>
                <w:vertAlign w:val="baseline"/>
                <w:lang w:val="en-US" w:eastAsia="zh-CN"/>
              </w:rPr>
            </w:pPr>
            <w:r>
              <w:rPr>
                <w:rFonts w:hint="eastAsia"/>
                <w:vertAlign w:val="baseline"/>
                <w:lang w:val="en-US" w:eastAsia="zh-CN"/>
              </w:rPr>
              <w:t>95</w:t>
            </w:r>
          </w:p>
        </w:tc>
        <w:tc>
          <w:tcPr>
            <w:tcW w:w="700" w:type="pct"/>
            <w:vAlign w:val="center"/>
          </w:tcPr>
          <w:p>
            <w:pPr>
              <w:numPr>
                <w:ilvl w:val="0"/>
                <w:numId w:val="0"/>
              </w:numPr>
              <w:jc w:val="center"/>
              <w:rPr>
                <w:rFonts w:hint="default"/>
                <w:vertAlign w:val="baseline"/>
                <w:lang w:val="en-US" w:eastAsia="zh-CN"/>
              </w:rPr>
            </w:pPr>
            <w:r>
              <w:rPr>
                <w:rFonts w:hint="eastAsia"/>
                <w:vertAlign w:val="baseline"/>
                <w:lang w:val="en-US" w:eastAsia="zh-CN"/>
              </w:rPr>
              <w:t>56</w:t>
            </w:r>
          </w:p>
        </w:tc>
        <w:tc>
          <w:tcPr>
            <w:tcW w:w="537" w:type="pct"/>
            <w:vAlign w:val="center"/>
          </w:tcPr>
          <w:p>
            <w:pPr>
              <w:numPr>
                <w:ilvl w:val="0"/>
                <w:numId w:val="0"/>
              </w:numPr>
              <w:jc w:val="center"/>
              <w:rPr>
                <w:rFonts w:hint="default"/>
                <w:vertAlign w:val="baseline"/>
                <w:lang w:val="en-US" w:eastAsia="zh-CN"/>
              </w:rPr>
            </w:pPr>
            <w:r>
              <w:rPr>
                <w:rFonts w:hint="eastAsia"/>
                <w:vertAlign w:val="baseline"/>
                <w:lang w:val="en-US" w:eastAsia="zh-CN"/>
              </w:rPr>
              <w:t>58.9%</w:t>
            </w:r>
          </w:p>
        </w:tc>
        <w:tc>
          <w:tcPr>
            <w:tcW w:w="545" w:type="pct"/>
            <w:vAlign w:val="center"/>
          </w:tcPr>
          <w:p>
            <w:pPr>
              <w:numPr>
                <w:ilvl w:val="0"/>
                <w:numId w:val="0"/>
              </w:numPr>
              <w:jc w:val="center"/>
              <w:rPr>
                <w:rFonts w:hint="default"/>
                <w:vertAlign w:val="baseline"/>
                <w:lang w:val="en-US" w:eastAsia="zh-CN"/>
              </w:rPr>
            </w:pPr>
            <w:r>
              <w:rPr>
                <w:rFonts w:hint="eastAsia"/>
                <w:vertAlign w:val="baseline"/>
                <w:lang w:val="en-US" w:eastAsia="zh-CN"/>
              </w:rPr>
              <w:t>48</w:t>
            </w:r>
          </w:p>
        </w:tc>
        <w:tc>
          <w:tcPr>
            <w:tcW w:w="563" w:type="pct"/>
            <w:vAlign w:val="center"/>
          </w:tcPr>
          <w:p>
            <w:pPr>
              <w:numPr>
                <w:ilvl w:val="0"/>
                <w:numId w:val="0"/>
              </w:numPr>
              <w:jc w:val="center"/>
              <w:rPr>
                <w:rFonts w:hint="default"/>
                <w:vertAlign w:val="baseline"/>
                <w:lang w:val="en-US" w:eastAsia="zh-CN"/>
              </w:rPr>
            </w:pPr>
            <w:r>
              <w:rPr>
                <w:rFonts w:hint="eastAsia"/>
                <w:vertAlign w:val="baseline"/>
                <w:lang w:val="en-US" w:eastAsia="zh-CN"/>
              </w:rPr>
              <w:t>8</w:t>
            </w:r>
          </w:p>
        </w:tc>
        <w:tc>
          <w:tcPr>
            <w:tcW w:w="698" w:type="pct"/>
            <w:vAlign w:val="center"/>
          </w:tcPr>
          <w:p>
            <w:pPr>
              <w:numPr>
                <w:ilvl w:val="0"/>
                <w:numId w:val="0"/>
              </w:numPr>
              <w:jc w:val="center"/>
              <w:rPr>
                <w:rFonts w:hint="default"/>
                <w:vertAlign w:val="baseline"/>
                <w:lang w:val="en-US" w:eastAsia="zh-CN"/>
              </w:rPr>
            </w:pPr>
            <w:r>
              <w:rPr>
                <w:rFonts w:hint="eastAsia"/>
                <w:vertAlign w:val="baseline"/>
                <w:lang w:val="en-US" w:eastAsia="zh-CN"/>
              </w:rPr>
              <w:t>24</w:t>
            </w:r>
          </w:p>
        </w:tc>
        <w:tc>
          <w:tcPr>
            <w:tcW w:w="780" w:type="pct"/>
            <w:vAlign w:val="center"/>
          </w:tcPr>
          <w:p>
            <w:pPr>
              <w:numPr>
                <w:ilvl w:val="0"/>
                <w:numId w:val="0"/>
              </w:numPr>
              <w:jc w:val="center"/>
              <w:rPr>
                <w:rFonts w:hint="default"/>
                <w:vertAlign w:val="baseline"/>
                <w:lang w:val="en-US" w:eastAsia="zh-CN"/>
              </w:rPr>
            </w:pPr>
            <w:r>
              <w:rPr>
                <w:rFonts w:hint="eastAsia"/>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549" w:type="pct"/>
            <w:vAlign w:val="center"/>
          </w:tcPr>
          <w:p>
            <w:pPr>
              <w:numPr>
                <w:ilvl w:val="0"/>
                <w:numId w:val="0"/>
              </w:numPr>
              <w:jc w:val="center"/>
              <w:rPr>
                <w:rFonts w:hint="default"/>
                <w:vertAlign w:val="baseline"/>
                <w:lang w:val="en-US" w:eastAsia="zh-CN"/>
              </w:rPr>
            </w:pPr>
            <w:r>
              <w:rPr>
                <w:rFonts w:hint="eastAsia"/>
                <w:vertAlign w:val="baseline"/>
                <w:lang w:val="en-US" w:eastAsia="zh-CN"/>
              </w:rPr>
              <w:t>33</w:t>
            </w:r>
          </w:p>
        </w:tc>
        <w:tc>
          <w:tcPr>
            <w:tcW w:w="700" w:type="pct"/>
            <w:vAlign w:val="center"/>
          </w:tcPr>
          <w:p>
            <w:pPr>
              <w:numPr>
                <w:ilvl w:val="0"/>
                <w:numId w:val="0"/>
              </w:numPr>
              <w:jc w:val="center"/>
              <w:rPr>
                <w:rFonts w:hint="default"/>
                <w:vertAlign w:val="baseline"/>
                <w:lang w:val="en-US" w:eastAsia="zh-CN"/>
              </w:rPr>
            </w:pPr>
            <w:r>
              <w:rPr>
                <w:rFonts w:hint="eastAsia"/>
                <w:vertAlign w:val="baseline"/>
                <w:lang w:val="en-US" w:eastAsia="zh-CN"/>
              </w:rPr>
              <w:t>20</w:t>
            </w:r>
          </w:p>
        </w:tc>
        <w:tc>
          <w:tcPr>
            <w:tcW w:w="537" w:type="pct"/>
            <w:vAlign w:val="center"/>
          </w:tcPr>
          <w:p>
            <w:pPr>
              <w:numPr>
                <w:ilvl w:val="0"/>
                <w:numId w:val="0"/>
              </w:numPr>
              <w:jc w:val="center"/>
              <w:rPr>
                <w:rFonts w:hint="default"/>
                <w:vertAlign w:val="baseline"/>
                <w:lang w:val="en-US" w:eastAsia="zh-CN"/>
              </w:rPr>
            </w:pPr>
            <w:r>
              <w:rPr>
                <w:rFonts w:hint="eastAsia"/>
                <w:vertAlign w:val="baseline"/>
                <w:lang w:val="en-US" w:eastAsia="zh-CN"/>
              </w:rPr>
              <w:t>60.6%</w:t>
            </w:r>
          </w:p>
        </w:tc>
        <w:tc>
          <w:tcPr>
            <w:tcW w:w="545" w:type="pct"/>
            <w:vAlign w:val="center"/>
          </w:tcPr>
          <w:p>
            <w:pPr>
              <w:numPr>
                <w:ilvl w:val="0"/>
                <w:numId w:val="0"/>
              </w:numPr>
              <w:jc w:val="center"/>
              <w:rPr>
                <w:rFonts w:hint="default"/>
                <w:vertAlign w:val="baseline"/>
                <w:lang w:val="en-US" w:eastAsia="zh-CN"/>
              </w:rPr>
            </w:pPr>
            <w:r>
              <w:rPr>
                <w:rFonts w:hint="eastAsia"/>
                <w:vertAlign w:val="baseline"/>
                <w:lang w:val="en-US" w:eastAsia="zh-CN"/>
              </w:rPr>
              <w:t>16</w:t>
            </w:r>
          </w:p>
        </w:tc>
        <w:tc>
          <w:tcPr>
            <w:tcW w:w="563" w:type="pct"/>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698" w:type="pct"/>
            <w:vAlign w:val="center"/>
          </w:tcPr>
          <w:p>
            <w:pPr>
              <w:numPr>
                <w:ilvl w:val="0"/>
                <w:numId w:val="0"/>
              </w:numPr>
              <w:jc w:val="center"/>
              <w:rPr>
                <w:rFonts w:hint="default"/>
                <w:vertAlign w:val="baseline"/>
                <w:lang w:val="en-US" w:eastAsia="zh-CN"/>
              </w:rPr>
            </w:pPr>
            <w:r>
              <w:rPr>
                <w:rFonts w:hint="eastAsia"/>
                <w:vertAlign w:val="baseline"/>
                <w:lang w:val="en-US" w:eastAsia="zh-CN"/>
              </w:rPr>
              <w:t>11</w:t>
            </w:r>
          </w:p>
        </w:tc>
        <w:tc>
          <w:tcPr>
            <w:tcW w:w="780" w:type="pct"/>
            <w:vAlign w:val="center"/>
          </w:tcPr>
          <w:p>
            <w:pPr>
              <w:numPr>
                <w:ilvl w:val="0"/>
                <w:numId w:val="0"/>
              </w:numPr>
              <w:jc w:val="center"/>
              <w:rPr>
                <w:rFonts w:hint="default"/>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549" w:type="pct"/>
            <w:vAlign w:val="center"/>
          </w:tcPr>
          <w:p>
            <w:pPr>
              <w:numPr>
                <w:ilvl w:val="0"/>
                <w:numId w:val="0"/>
              </w:numPr>
              <w:jc w:val="center"/>
              <w:rPr>
                <w:rFonts w:hint="default"/>
                <w:vertAlign w:val="baseline"/>
                <w:lang w:val="en-US" w:eastAsia="zh-CN"/>
              </w:rPr>
            </w:pPr>
            <w:r>
              <w:rPr>
                <w:rFonts w:hint="eastAsia"/>
                <w:vertAlign w:val="baseline"/>
                <w:lang w:val="en-US" w:eastAsia="zh-CN"/>
              </w:rPr>
              <w:t>15</w:t>
            </w:r>
          </w:p>
        </w:tc>
        <w:tc>
          <w:tcPr>
            <w:tcW w:w="700" w:type="pct"/>
            <w:vAlign w:val="center"/>
          </w:tcPr>
          <w:p>
            <w:pPr>
              <w:numPr>
                <w:ilvl w:val="0"/>
                <w:numId w:val="0"/>
              </w:numPr>
              <w:jc w:val="center"/>
              <w:rPr>
                <w:rFonts w:hint="default"/>
                <w:vertAlign w:val="baseline"/>
                <w:lang w:val="en-US" w:eastAsia="zh-CN"/>
              </w:rPr>
            </w:pPr>
            <w:r>
              <w:rPr>
                <w:rFonts w:hint="eastAsia"/>
                <w:vertAlign w:val="baseline"/>
                <w:lang w:val="en-US" w:eastAsia="zh-CN"/>
              </w:rPr>
              <w:t>6</w:t>
            </w:r>
          </w:p>
        </w:tc>
        <w:tc>
          <w:tcPr>
            <w:tcW w:w="537" w:type="pct"/>
            <w:vAlign w:val="center"/>
          </w:tcPr>
          <w:p>
            <w:pPr>
              <w:numPr>
                <w:ilvl w:val="0"/>
                <w:numId w:val="0"/>
              </w:numPr>
              <w:jc w:val="center"/>
              <w:rPr>
                <w:rFonts w:hint="default"/>
                <w:vertAlign w:val="baseline"/>
                <w:lang w:val="en-US" w:eastAsia="zh-CN"/>
              </w:rPr>
            </w:pPr>
            <w:r>
              <w:rPr>
                <w:rFonts w:hint="eastAsia"/>
                <w:vertAlign w:val="baseline"/>
                <w:lang w:val="en-US" w:eastAsia="zh-CN"/>
              </w:rPr>
              <w:t>40.0%</w:t>
            </w:r>
          </w:p>
        </w:tc>
        <w:tc>
          <w:tcPr>
            <w:tcW w:w="545" w:type="pct"/>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563"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698" w:type="pct"/>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780" w:type="pct"/>
            <w:vAlign w:val="center"/>
          </w:tcPr>
          <w:p>
            <w:pPr>
              <w:numPr>
                <w:ilvl w:val="0"/>
                <w:numId w:val="0"/>
              </w:numPr>
              <w:jc w:val="cente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pct"/>
            <w:vAlign w:val="center"/>
          </w:tcPr>
          <w:p>
            <w:pPr>
              <w:numPr>
                <w:ilvl w:val="0"/>
                <w:numId w:val="0"/>
              </w:numPr>
              <w:jc w:val="center"/>
              <w:rPr>
                <w:rFonts w:hint="default"/>
                <w:vertAlign w:val="baseline"/>
                <w:lang w:val="en-US" w:eastAsia="zh-CN"/>
              </w:rPr>
            </w:pPr>
            <w:r>
              <w:rPr>
                <w:rFonts w:hint="eastAsia"/>
                <w:vertAlign w:val="baseline"/>
                <w:lang w:val="en-US" w:eastAsia="zh-CN"/>
              </w:rPr>
              <w:t>合计</w:t>
            </w:r>
          </w:p>
        </w:tc>
        <w:tc>
          <w:tcPr>
            <w:tcW w:w="549" w:type="pct"/>
            <w:vAlign w:val="center"/>
          </w:tcPr>
          <w:p>
            <w:pPr>
              <w:numPr>
                <w:ilvl w:val="0"/>
                <w:numId w:val="0"/>
              </w:numPr>
              <w:jc w:val="center"/>
              <w:rPr>
                <w:rFonts w:hint="default"/>
                <w:vertAlign w:val="baseline"/>
                <w:lang w:val="en-US" w:eastAsia="zh-CN"/>
              </w:rPr>
            </w:pPr>
            <w:r>
              <w:rPr>
                <w:rFonts w:hint="eastAsia"/>
                <w:vertAlign w:val="baseline"/>
                <w:lang w:val="en-US" w:eastAsia="zh-CN"/>
              </w:rPr>
              <w:t>143</w:t>
            </w:r>
          </w:p>
        </w:tc>
        <w:tc>
          <w:tcPr>
            <w:tcW w:w="700" w:type="pct"/>
            <w:vAlign w:val="center"/>
          </w:tcPr>
          <w:p>
            <w:pPr>
              <w:numPr>
                <w:ilvl w:val="0"/>
                <w:numId w:val="0"/>
              </w:numPr>
              <w:jc w:val="center"/>
              <w:rPr>
                <w:rFonts w:hint="default"/>
                <w:vertAlign w:val="baseline"/>
                <w:lang w:val="en-US" w:eastAsia="zh-CN"/>
              </w:rPr>
            </w:pPr>
            <w:r>
              <w:rPr>
                <w:rFonts w:hint="eastAsia"/>
                <w:vertAlign w:val="baseline"/>
                <w:lang w:val="en-US" w:eastAsia="zh-CN"/>
              </w:rPr>
              <w:t>82</w:t>
            </w:r>
          </w:p>
        </w:tc>
        <w:tc>
          <w:tcPr>
            <w:tcW w:w="537" w:type="pct"/>
            <w:vAlign w:val="center"/>
          </w:tcPr>
          <w:p>
            <w:pPr>
              <w:numPr>
                <w:ilvl w:val="0"/>
                <w:numId w:val="0"/>
              </w:numPr>
              <w:jc w:val="center"/>
              <w:rPr>
                <w:rFonts w:hint="default"/>
                <w:vertAlign w:val="baseline"/>
                <w:lang w:val="en-US" w:eastAsia="zh-CN"/>
              </w:rPr>
            </w:pPr>
            <w:r>
              <w:rPr>
                <w:rFonts w:hint="eastAsia"/>
                <w:vertAlign w:val="baseline"/>
                <w:lang w:val="en-US" w:eastAsia="zh-CN"/>
              </w:rPr>
              <w:t>57.3%</w:t>
            </w:r>
          </w:p>
        </w:tc>
        <w:tc>
          <w:tcPr>
            <w:tcW w:w="545" w:type="pct"/>
            <w:vAlign w:val="center"/>
          </w:tcPr>
          <w:p>
            <w:pPr>
              <w:numPr>
                <w:ilvl w:val="0"/>
                <w:numId w:val="0"/>
              </w:numPr>
              <w:jc w:val="center"/>
              <w:rPr>
                <w:rFonts w:hint="default"/>
                <w:vertAlign w:val="baseline"/>
                <w:lang w:val="en-US" w:eastAsia="zh-CN"/>
              </w:rPr>
            </w:pPr>
            <w:r>
              <w:rPr>
                <w:rFonts w:hint="eastAsia"/>
                <w:vertAlign w:val="baseline"/>
                <w:lang w:val="en-US" w:eastAsia="zh-CN"/>
              </w:rPr>
              <w:t>68</w:t>
            </w:r>
          </w:p>
        </w:tc>
        <w:tc>
          <w:tcPr>
            <w:tcW w:w="563" w:type="pct"/>
            <w:vAlign w:val="center"/>
          </w:tcPr>
          <w:p>
            <w:pPr>
              <w:numPr>
                <w:ilvl w:val="0"/>
                <w:numId w:val="0"/>
              </w:numPr>
              <w:jc w:val="center"/>
              <w:rPr>
                <w:rFonts w:hint="default"/>
                <w:vertAlign w:val="baseline"/>
                <w:lang w:val="en-US" w:eastAsia="zh-CN"/>
              </w:rPr>
            </w:pPr>
            <w:r>
              <w:rPr>
                <w:rFonts w:hint="eastAsia"/>
                <w:vertAlign w:val="baseline"/>
                <w:lang w:val="en-US" w:eastAsia="zh-CN"/>
              </w:rPr>
              <w:t>14</w:t>
            </w:r>
          </w:p>
        </w:tc>
        <w:tc>
          <w:tcPr>
            <w:tcW w:w="698" w:type="pct"/>
            <w:vAlign w:val="center"/>
          </w:tcPr>
          <w:p>
            <w:pPr>
              <w:numPr>
                <w:ilvl w:val="0"/>
                <w:numId w:val="0"/>
              </w:numPr>
              <w:jc w:val="center"/>
              <w:rPr>
                <w:rFonts w:hint="default"/>
                <w:vertAlign w:val="baseline"/>
                <w:lang w:val="en-US" w:eastAsia="zh-CN"/>
              </w:rPr>
            </w:pPr>
            <w:r>
              <w:rPr>
                <w:rFonts w:hint="eastAsia"/>
                <w:vertAlign w:val="baseline"/>
                <w:lang w:val="en-US" w:eastAsia="zh-CN"/>
              </w:rPr>
              <w:t>35</w:t>
            </w:r>
          </w:p>
        </w:tc>
        <w:tc>
          <w:tcPr>
            <w:tcW w:w="780" w:type="pct"/>
            <w:vAlign w:val="center"/>
          </w:tcPr>
          <w:p>
            <w:pPr>
              <w:numPr>
                <w:ilvl w:val="0"/>
                <w:numId w:val="0"/>
              </w:numPr>
              <w:jc w:val="center"/>
              <w:rPr>
                <w:rFonts w:hint="default"/>
                <w:vertAlign w:val="baseline"/>
                <w:lang w:val="en-US" w:eastAsia="zh-CN"/>
              </w:rPr>
            </w:pPr>
            <w:r>
              <w:rPr>
                <w:rFonts w:hint="eastAsia"/>
                <w:vertAlign w:val="baseline"/>
                <w:lang w:val="en-US" w:eastAsia="zh-CN"/>
              </w:rPr>
              <w:t>47</w:t>
            </w:r>
          </w:p>
        </w:tc>
      </w:tr>
    </w:tbl>
    <w:p>
      <w:pPr>
        <w:numPr>
          <w:ilvl w:val="0"/>
          <w:numId w:val="0"/>
        </w:numPr>
        <w:ind w:leftChars="0" w:firstLine="420" w:firstLineChars="200"/>
        <w:rPr>
          <w:rFonts w:hint="eastAsia"/>
          <w:lang w:val="en-US" w:eastAsia="zh-CN"/>
        </w:rPr>
      </w:pPr>
      <w:r>
        <w:rPr>
          <w:rFonts w:hint="eastAsia"/>
          <w:lang w:val="en-US" w:eastAsia="zh-CN"/>
        </w:rPr>
        <w:t>缺陷分析：</w:t>
      </w:r>
    </w:p>
    <w:p>
      <w:pPr>
        <w:numPr>
          <w:ilvl w:val="0"/>
          <w:numId w:val="4"/>
        </w:numPr>
        <w:ind w:leftChars="0" w:firstLine="420" w:firstLineChars="200"/>
        <w:rPr>
          <w:rFonts w:hint="eastAsia"/>
          <w:lang w:val="en-US" w:eastAsia="zh-CN"/>
        </w:rPr>
      </w:pPr>
      <w:r>
        <w:rPr>
          <w:rFonts w:hint="eastAsia"/>
          <w:lang w:val="en-US" w:eastAsia="zh-CN"/>
        </w:rPr>
        <w:t>有效缺陷率57.3%，还有较大的提升空间，说明测试人员对报表中数据来源不够熟悉，对于发现的部分非缺陷问题，不能有效定位；</w:t>
      </w:r>
    </w:p>
    <w:p>
      <w:pPr>
        <w:numPr>
          <w:ilvl w:val="0"/>
          <w:numId w:val="4"/>
        </w:numPr>
        <w:ind w:leftChars="0" w:firstLine="420" w:firstLineChars="200"/>
        <w:rPr>
          <w:rFonts w:hint="default"/>
          <w:lang w:val="en-US" w:eastAsia="zh-CN"/>
        </w:rPr>
      </w:pPr>
      <w:r>
        <w:rPr>
          <w:rFonts w:hint="eastAsia"/>
          <w:lang w:val="en-US" w:eastAsia="zh-CN"/>
        </w:rPr>
        <w:t>功能类缺陷偏多，应注意环境和版本的管理，因为本次主要核对迁移数据的正确性，功能问题不应是主要问题；</w:t>
      </w:r>
    </w:p>
    <w:p>
      <w:pPr>
        <w:pStyle w:val="4"/>
        <w:numPr>
          <w:ilvl w:val="1"/>
          <w:numId w:val="2"/>
        </w:numPr>
        <w:bidi w:val="0"/>
        <w:rPr>
          <w:rFonts w:hint="eastAsia"/>
          <w:lang w:val="en-US" w:eastAsia="zh-CN"/>
        </w:rPr>
      </w:pPr>
      <w:bookmarkStart w:id="0" w:name="_Toc4107"/>
      <w:r>
        <w:rPr>
          <w:rFonts w:hint="eastAsia"/>
          <w:lang w:val="en-US" w:eastAsia="zh-CN"/>
        </w:rPr>
        <w:t>代销测试</w:t>
      </w:r>
      <w:bookmarkEnd w:id="0"/>
    </w:p>
    <w:p>
      <w:pPr>
        <w:pStyle w:val="5"/>
        <w:numPr>
          <w:ilvl w:val="2"/>
          <w:numId w:val="2"/>
        </w:numPr>
        <w:bidi w:val="0"/>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测试范围</w:t>
      </w:r>
    </w:p>
    <w:p>
      <w:pPr>
        <w:numPr>
          <w:ilvl w:val="0"/>
          <w:numId w:val="0"/>
        </w:numPr>
        <w:ind w:leftChars="0" w:firstLine="420"/>
        <w:rPr>
          <w:rFonts w:hint="eastAsia"/>
          <w:color w:val="000000" w:themeColor="text1"/>
          <w:sz w:val="22"/>
          <w:szCs w:val="22"/>
          <w:highlight w:val="none"/>
          <w:lang w:val="en-US" w:eastAsia="zh-CN"/>
          <w14:textFill>
            <w14:solidFill>
              <w14:schemeClr w14:val="tx1"/>
            </w14:solidFill>
          </w14:textFill>
        </w:rPr>
      </w:pPr>
      <w:r>
        <w:rPr>
          <w:rFonts w:hint="eastAsia"/>
          <w:color w:val="000000" w:themeColor="text1"/>
          <w:sz w:val="22"/>
          <w:szCs w:val="22"/>
          <w:highlight w:val="none"/>
          <w:lang w:val="en-US" w:eastAsia="zh-CN"/>
          <w14:textFill>
            <w14:solidFill>
              <w14:schemeClr w14:val="tx1"/>
            </w14:solidFill>
          </w14:textFill>
        </w:rPr>
        <w:t>本次测试的目的是设置代销推介锁定期和存续锁定期：按日、月、年、开放日、包含、不包含，首笔份额登记日及每笔份额登记日，测试产品处于存续锁定期时是否可进行赎回交易；详细范围如下：</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1"/>
        <w:gridCol w:w="5806"/>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vAlign w:val="center"/>
          </w:tcPr>
          <w:p>
            <w:pPr>
              <w:numPr>
                <w:ilvl w:val="0"/>
                <w:numId w:val="0"/>
              </w:numPr>
              <w:jc w:val="center"/>
              <w:rPr>
                <w:rFonts w:hint="default"/>
                <w:b/>
                <w:bCs/>
                <w:color w:val="000000" w:themeColor="text1"/>
                <w:highlight w:val="none"/>
                <w:vertAlign w:val="baseline"/>
                <w:lang w:val="en-US" w:eastAsia="zh-CN"/>
                <w14:textFill>
                  <w14:solidFill>
                    <w14:schemeClr w14:val="tx1"/>
                  </w14:solidFill>
                </w14:textFill>
              </w:rPr>
            </w:pPr>
            <w:r>
              <w:rPr>
                <w:rFonts w:hint="eastAsia"/>
                <w:b/>
                <w:bCs/>
                <w:color w:val="000000" w:themeColor="text1"/>
                <w:highlight w:val="none"/>
                <w:vertAlign w:val="baseline"/>
                <w:lang w:val="en-US" w:eastAsia="zh-CN"/>
                <w14:textFill>
                  <w14:solidFill>
                    <w14:schemeClr w14:val="tx1"/>
                  </w14:solidFill>
                </w14:textFill>
              </w:rPr>
              <w:t>序号</w:t>
            </w:r>
          </w:p>
        </w:tc>
        <w:tc>
          <w:tcPr>
            <w:tcW w:w="3407" w:type="pct"/>
            <w:vAlign w:val="center"/>
          </w:tcPr>
          <w:p>
            <w:pPr>
              <w:numPr>
                <w:ilvl w:val="0"/>
                <w:numId w:val="0"/>
              </w:numPr>
              <w:jc w:val="center"/>
              <w:rPr>
                <w:rFonts w:hint="default"/>
                <w:b/>
                <w:bCs/>
                <w:color w:val="000000" w:themeColor="text1"/>
                <w:highlight w:val="none"/>
                <w:vertAlign w:val="baseline"/>
                <w:lang w:val="en-US" w:eastAsia="zh-CN"/>
                <w14:textFill>
                  <w14:solidFill>
                    <w14:schemeClr w14:val="tx1"/>
                  </w14:solidFill>
                </w14:textFill>
              </w:rPr>
            </w:pPr>
            <w:r>
              <w:rPr>
                <w:rFonts w:hint="eastAsia"/>
                <w:b/>
                <w:bCs/>
                <w:color w:val="000000" w:themeColor="text1"/>
                <w:highlight w:val="none"/>
                <w:vertAlign w:val="baseline"/>
                <w:lang w:val="en-US" w:eastAsia="zh-CN"/>
                <w14:textFill>
                  <w14:solidFill>
                    <w14:schemeClr w14:val="tx1"/>
                  </w14:solidFill>
                </w14:textFill>
              </w:rPr>
              <w:t>测试内容</w:t>
            </w:r>
          </w:p>
        </w:tc>
        <w:tc>
          <w:tcPr>
            <w:tcW w:w="952" w:type="pct"/>
            <w:vAlign w:val="center"/>
          </w:tcPr>
          <w:p>
            <w:pPr>
              <w:numPr>
                <w:ilvl w:val="0"/>
                <w:numId w:val="0"/>
              </w:numPr>
              <w:jc w:val="center"/>
              <w:rPr>
                <w:rFonts w:hint="default"/>
                <w:b/>
                <w:bCs/>
                <w:color w:val="000000" w:themeColor="text1"/>
                <w:highlight w:val="none"/>
                <w:vertAlign w:val="baseline"/>
                <w:lang w:val="en-US" w:eastAsia="zh-CN"/>
                <w14:textFill>
                  <w14:solidFill>
                    <w14:schemeClr w14:val="tx1"/>
                  </w14:solidFill>
                </w14:textFill>
              </w:rPr>
            </w:pPr>
            <w:r>
              <w:rPr>
                <w:rFonts w:hint="eastAsia"/>
                <w:b/>
                <w:bCs/>
                <w:color w:val="000000" w:themeColor="text1"/>
                <w:highlight w:val="none"/>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vAlign w:val="center"/>
          </w:tcPr>
          <w:p>
            <w:pPr>
              <w:numPr>
                <w:ilvl w:val="0"/>
                <w:numId w:val="0"/>
              </w:numPr>
              <w:jc w:val="cente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w:t>
            </w:r>
          </w:p>
        </w:tc>
        <w:tc>
          <w:tcPr>
            <w:tcW w:w="3407" w:type="pct"/>
            <w:vAlign w:val="center"/>
          </w:tcPr>
          <w:p>
            <w:pPr>
              <w:numPr>
                <w:ilvl w:val="0"/>
                <w:numId w:val="0"/>
              </w:numPr>
              <w:tabs>
                <w:tab w:val="left" w:pos="1641"/>
              </w:tabs>
              <w:jc w:val="left"/>
              <w:rPr>
                <w:rFonts w:hint="eastAsia"/>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1.设置推介锁定期：按日、月、年、开放日、包含、不包含，首笔份额登记日及每笔份额登记日各场景，测试产品处于推介锁定期时是否可进行赎回及购买交易</w:t>
            </w:r>
          </w:p>
        </w:tc>
        <w:tc>
          <w:tcPr>
            <w:tcW w:w="952" w:type="pct"/>
            <w:vAlign w:val="center"/>
          </w:tcPr>
          <w:p>
            <w:pPr>
              <w:numPr>
                <w:ilvl w:val="0"/>
                <w:numId w:val="0"/>
              </w:numPr>
              <w:jc w:val="center"/>
              <w:rPr>
                <w:rFonts w:hint="eastAsia"/>
                <w:color w:val="000000" w:themeColor="text1"/>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vAlign w:val="center"/>
          </w:tcPr>
          <w:p>
            <w:pPr>
              <w:numPr>
                <w:ilvl w:val="0"/>
                <w:numId w:val="0"/>
              </w:numPr>
              <w:jc w:val="cente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2</w:t>
            </w:r>
          </w:p>
        </w:tc>
        <w:tc>
          <w:tcPr>
            <w:tcW w:w="3407" w:type="pct"/>
            <w:vAlign w:val="center"/>
          </w:tcPr>
          <w:p>
            <w:pPr>
              <w:numPr>
                <w:ilvl w:val="0"/>
                <w:numId w:val="0"/>
              </w:numPr>
              <w:jc w:val="left"/>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1.设置推介存续期：按日、月、年、开放日、包含、不包含，首笔份额登记日及每笔份额登记日各场景，测试产品处于推介锁定期时是否可进行赎回及购买交易</w:t>
            </w:r>
          </w:p>
        </w:tc>
        <w:tc>
          <w:tcPr>
            <w:tcW w:w="952" w:type="pct"/>
            <w:vAlign w:val="center"/>
          </w:tcPr>
          <w:p>
            <w:pPr>
              <w:numPr>
                <w:ilvl w:val="0"/>
                <w:numId w:val="0"/>
              </w:numPr>
              <w:jc w:val="center"/>
              <w:rPr>
                <w:rFonts w:hint="default"/>
                <w:color w:val="000000" w:themeColor="text1"/>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vAlign w:val="center"/>
          </w:tcPr>
          <w:p>
            <w:pPr>
              <w:numPr>
                <w:ilvl w:val="0"/>
                <w:numId w:val="0"/>
              </w:numPr>
              <w:jc w:val="center"/>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3</w:t>
            </w:r>
          </w:p>
        </w:tc>
        <w:tc>
          <w:tcPr>
            <w:tcW w:w="3407" w:type="pct"/>
            <w:vAlign w:val="center"/>
          </w:tcPr>
          <w:p>
            <w:pPr>
              <w:numPr>
                <w:ilvl w:val="0"/>
                <w:numId w:val="0"/>
              </w:numPr>
              <w:jc w:val="left"/>
              <w:rPr>
                <w:rFonts w:hint="eastAsia"/>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1.设置推介锁定期和存续锁定期：按日、月、年、开放日、包含、不包含，首笔份额登记日及每笔份额登记日，测试产品处于存续锁定期时是否可进行赎回交易</w:t>
            </w:r>
          </w:p>
        </w:tc>
        <w:tc>
          <w:tcPr>
            <w:tcW w:w="952" w:type="pct"/>
            <w:vAlign w:val="center"/>
          </w:tcPr>
          <w:p>
            <w:pPr>
              <w:numPr>
                <w:ilvl w:val="0"/>
                <w:numId w:val="0"/>
              </w:numPr>
              <w:jc w:val="center"/>
              <w:rPr>
                <w:rFonts w:hint="eastAsia"/>
                <w:color w:val="000000" w:themeColor="text1"/>
                <w:highlight w:val="none"/>
                <w:vertAlign w:val="baseline"/>
                <w:lang w:val="en-US" w:eastAsia="zh-CN"/>
                <w14:textFill>
                  <w14:solidFill>
                    <w14:schemeClr w14:val="tx1"/>
                  </w14:solidFill>
                </w14:textFill>
              </w:rPr>
            </w:pPr>
          </w:p>
        </w:tc>
      </w:tr>
    </w:tbl>
    <w:p>
      <w:pPr>
        <w:numPr>
          <w:ilvl w:val="0"/>
          <w:numId w:val="0"/>
        </w:numPr>
        <w:rPr>
          <w:rFonts w:hint="default"/>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测试方法</w:t>
      </w:r>
    </w:p>
    <w:p>
      <w:pPr>
        <w:numPr>
          <w:ilvl w:val="0"/>
          <w:numId w:val="0"/>
        </w:numPr>
        <w:ind w:leftChars="0" w:firstLine="420"/>
        <w:rPr>
          <w:rFonts w:hint="eastAsia"/>
          <w:sz w:val="22"/>
          <w:szCs w:val="22"/>
          <w:lang w:val="en-US" w:eastAsia="zh-CN"/>
        </w:rPr>
      </w:pPr>
      <w:r>
        <w:rPr>
          <w:rFonts w:hint="eastAsia"/>
          <w:sz w:val="22"/>
          <w:szCs w:val="22"/>
          <w:lang w:val="en-US" w:eastAsia="zh-CN"/>
        </w:rPr>
        <w:t>代销测试依据金证提供的测试案例场景测试；详细情况如下表：</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
        <w:gridCol w:w="3613"/>
        <w:gridCol w:w="4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序号</w:t>
            </w:r>
          </w:p>
        </w:tc>
        <w:tc>
          <w:tcPr>
            <w:tcW w:w="212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测试内容</w:t>
            </w:r>
          </w:p>
        </w:tc>
        <w:tc>
          <w:tcPr>
            <w:tcW w:w="2489"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核对标准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90"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2120" w:type="pct"/>
            <w:vAlign w:val="center"/>
          </w:tcPr>
          <w:p>
            <w:pPr>
              <w:numPr>
                <w:ilvl w:val="0"/>
                <w:numId w:val="0"/>
              </w:numPr>
              <w:jc w:val="left"/>
              <w:rPr>
                <w:rFonts w:hint="default"/>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设置推介锁定期：按日、月、年、开放日、包含、不包含，首笔份额登记日及每笔份额登记日各场景，测试产品处于推介锁定期时是否可进行赎回及购买交易</w:t>
            </w:r>
          </w:p>
        </w:tc>
        <w:tc>
          <w:tcPr>
            <w:tcW w:w="2489" w:type="pct"/>
            <w:vMerge w:val="restart"/>
            <w:vAlign w:val="center"/>
          </w:tcPr>
          <w:p>
            <w:pPr>
              <w:numPr>
                <w:ilvl w:val="0"/>
                <w:numId w:val="0"/>
              </w:numPr>
              <w:jc w:val="left"/>
              <w:rPr>
                <w:rFonts w:hint="eastAsia"/>
                <w:highlight w:val="none"/>
                <w:vertAlign w:val="baseline"/>
                <w:lang w:val="en-US" w:eastAsia="zh-CN"/>
              </w:rPr>
            </w:pPr>
            <w:r>
              <w:rPr>
                <w:rFonts w:hint="eastAsia"/>
                <w:vertAlign w:val="baseline"/>
                <w:lang w:val="en-US" w:eastAsia="zh-CN"/>
              </w:rPr>
              <w:t>1.同一投资者在不同代销商，</w:t>
            </w:r>
            <w:r>
              <w:rPr>
                <w:rFonts w:hint="eastAsia"/>
                <w:highlight w:val="none"/>
                <w:vertAlign w:val="baseline"/>
                <w:lang w:val="en-US" w:eastAsia="zh-CN"/>
              </w:rPr>
              <w:t>不同日期上报开户申请</w:t>
            </w:r>
          </w:p>
          <w:p>
            <w:pPr>
              <w:numPr>
                <w:ilvl w:val="0"/>
                <w:numId w:val="0"/>
              </w:numPr>
              <w:jc w:val="left"/>
              <w:rPr>
                <w:rFonts w:hint="eastAsia"/>
                <w:vertAlign w:val="baseline"/>
                <w:lang w:val="en-US" w:eastAsia="zh-CN"/>
              </w:rPr>
            </w:pPr>
            <w:r>
              <w:rPr>
                <w:rFonts w:hint="eastAsia"/>
                <w:vertAlign w:val="baseline"/>
                <w:lang w:val="en-US" w:eastAsia="zh-CN"/>
              </w:rPr>
              <w:t>2.投资者销户后，再次上报开户申请</w:t>
            </w:r>
          </w:p>
          <w:p>
            <w:pPr>
              <w:numPr>
                <w:ilvl w:val="0"/>
                <w:numId w:val="0"/>
              </w:numPr>
              <w:jc w:val="left"/>
              <w:rPr>
                <w:rFonts w:hint="eastAsia"/>
                <w:vertAlign w:val="baseline"/>
                <w:lang w:val="en-US" w:eastAsia="zh-CN"/>
              </w:rPr>
            </w:pPr>
            <w:r>
              <w:rPr>
                <w:rFonts w:hint="eastAsia"/>
                <w:vertAlign w:val="baseline"/>
                <w:lang w:val="en-US" w:eastAsia="zh-CN"/>
              </w:rPr>
              <w:t>3.设置最低认购金额，同一个投资者同天上报一笔认购和多笔认购</w:t>
            </w:r>
          </w:p>
          <w:p>
            <w:pPr>
              <w:numPr>
                <w:ilvl w:val="0"/>
                <w:numId w:val="0"/>
              </w:numPr>
              <w:jc w:val="left"/>
              <w:rPr>
                <w:rFonts w:hint="eastAsia"/>
                <w:vertAlign w:val="baseline"/>
                <w:lang w:val="en-US" w:eastAsia="zh-CN"/>
              </w:rPr>
            </w:pPr>
            <w:r>
              <w:rPr>
                <w:rFonts w:hint="eastAsia"/>
                <w:vertAlign w:val="baseline"/>
                <w:lang w:val="en-US" w:eastAsia="zh-CN"/>
              </w:rPr>
              <w:t>4.代销上报认购、募集失败，调整申请金额，需退款场景</w:t>
            </w:r>
          </w:p>
          <w:p>
            <w:pPr>
              <w:numPr>
                <w:ilvl w:val="0"/>
                <w:numId w:val="0"/>
              </w:numPr>
              <w:jc w:val="left"/>
              <w:rPr>
                <w:rFonts w:hint="eastAsia"/>
                <w:vertAlign w:val="baseline"/>
                <w:lang w:val="en-US" w:eastAsia="zh-CN"/>
              </w:rPr>
            </w:pPr>
            <w:r>
              <w:rPr>
                <w:rFonts w:hint="eastAsia"/>
                <w:vertAlign w:val="baseline"/>
                <w:lang w:val="en-US" w:eastAsia="zh-CN"/>
              </w:rPr>
              <w:t>5. 代销上报周五交易，周六、周日导入，交易失败或交易成功，确认日期测试</w:t>
            </w:r>
          </w:p>
          <w:p>
            <w:pPr>
              <w:numPr>
                <w:ilvl w:val="0"/>
                <w:numId w:val="0"/>
              </w:numPr>
              <w:jc w:val="left"/>
              <w:rPr>
                <w:rFonts w:hint="eastAsia"/>
                <w:vertAlign w:val="baseline"/>
                <w:lang w:val="en-US" w:eastAsia="zh-CN"/>
              </w:rPr>
            </w:pPr>
            <w:r>
              <w:rPr>
                <w:rFonts w:hint="eastAsia"/>
                <w:vertAlign w:val="baseline"/>
                <w:lang w:val="en-US" w:eastAsia="zh-CN"/>
              </w:rPr>
              <w:t>6.产品存在份额锁定期的产品存在份额锁定期的，包含按日、月、年、开放日、包含关系包含、不包含（开放日超过封闭期，都可以赎回，代销提交时点即使出于封闭期内（考虑提前上报赎回）），包含按日、月、年、开放日、包含关系包含、不包含（开放日超过封闭期，都可以赎回，代销提交时点即使出于封闭期内（考虑提前上报赎回））</w:t>
            </w:r>
          </w:p>
          <w:p>
            <w:pPr>
              <w:numPr>
                <w:ilvl w:val="0"/>
                <w:numId w:val="0"/>
              </w:num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90"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2120" w:type="pct"/>
            <w:vAlign w:val="center"/>
          </w:tcPr>
          <w:p>
            <w:pPr>
              <w:numPr>
                <w:ilvl w:val="0"/>
                <w:numId w:val="0"/>
              </w:numPr>
              <w:jc w:val="left"/>
              <w:rPr>
                <w:rFonts w:hint="eastAsia"/>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设置推介存续期：按日、月、年、开放日、包含、不包含，首笔份额登记日及每笔份额登记日各场景，测试产品处于推介锁定期时是否可进行赎回及购买交易</w:t>
            </w:r>
          </w:p>
        </w:tc>
        <w:tc>
          <w:tcPr>
            <w:tcW w:w="2489" w:type="pct"/>
            <w:vMerge w:val="continue"/>
            <w:vAlign w:val="center"/>
          </w:tcPr>
          <w:p>
            <w:pPr>
              <w:numPr>
                <w:ilvl w:val="0"/>
                <w:numId w:val="0"/>
              </w:num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90"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2120" w:type="pct"/>
            <w:vAlign w:val="center"/>
          </w:tcPr>
          <w:p>
            <w:pPr>
              <w:numPr>
                <w:ilvl w:val="0"/>
                <w:numId w:val="0"/>
              </w:numPr>
              <w:jc w:val="left"/>
              <w:rPr>
                <w:rFonts w:hint="eastAsia"/>
                <w:color w:val="000000" w:themeColor="text1"/>
                <w:highlight w:val="none"/>
                <w:vertAlign w:val="baseline"/>
                <w:lang w:val="en-US" w:eastAsia="zh-CN"/>
                <w14:textFill>
                  <w14:solidFill>
                    <w14:schemeClr w14:val="tx1"/>
                  </w14:solidFill>
                </w14:textFill>
              </w:rPr>
            </w:pPr>
            <w:r>
              <w:rPr>
                <w:rFonts w:hint="eastAsia"/>
                <w:color w:val="000000" w:themeColor="text1"/>
                <w:highlight w:val="none"/>
                <w:vertAlign w:val="baseline"/>
                <w:lang w:val="en-US" w:eastAsia="zh-CN"/>
                <w14:textFill>
                  <w14:solidFill>
                    <w14:schemeClr w14:val="tx1"/>
                  </w14:solidFill>
                </w14:textFill>
              </w:rPr>
              <w:t>设置推介锁定期和存续锁定期：按日、月、年、开放日、包含、不包含，首笔份额登记日及每笔份额登记日，测试产品处于存续锁定期时是否可进行赎回交易</w:t>
            </w:r>
          </w:p>
        </w:tc>
        <w:tc>
          <w:tcPr>
            <w:tcW w:w="2489" w:type="pct"/>
            <w:vMerge w:val="continue"/>
            <w:vAlign w:val="center"/>
          </w:tcPr>
          <w:p>
            <w:pPr>
              <w:numPr>
                <w:ilvl w:val="0"/>
                <w:numId w:val="0"/>
              </w:numPr>
              <w:jc w:val="left"/>
              <w:rPr>
                <w:rFonts w:hint="default"/>
                <w:vertAlign w:val="baseline"/>
                <w:lang w:val="en-US" w:eastAsia="zh-CN"/>
              </w:rPr>
            </w:pPr>
          </w:p>
        </w:tc>
      </w:tr>
    </w:tbl>
    <w:p>
      <w:pPr>
        <w:numPr>
          <w:ilvl w:val="0"/>
          <w:numId w:val="0"/>
        </w:numPr>
        <w:ind w:leftChars="0" w:firstLine="420"/>
        <w:rPr>
          <w:rFonts w:hint="eastAsia"/>
          <w:sz w:val="22"/>
          <w:szCs w:val="22"/>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缺陷统计分析</w:t>
      </w:r>
    </w:p>
    <w:p>
      <w:pPr>
        <w:numPr>
          <w:ilvl w:val="0"/>
          <w:numId w:val="0"/>
        </w:numPr>
        <w:rPr>
          <w:rFonts w:hint="eastAsia"/>
          <w:lang w:val="en-US" w:eastAsia="zh-CN"/>
        </w:rPr>
      </w:pPr>
      <w:r>
        <w:rPr>
          <w:rFonts w:hint="eastAsia"/>
          <w:lang w:val="en-US" w:eastAsia="zh-CN"/>
        </w:rPr>
        <w:t xml:space="preserve">    测试未发现问题</w:t>
      </w:r>
    </w:p>
    <w:p>
      <w:pPr>
        <w:numPr>
          <w:ilvl w:val="0"/>
          <w:numId w:val="0"/>
        </w:numPr>
        <w:rPr>
          <w:rFonts w:hint="eastAsia"/>
          <w:lang w:val="en-US" w:eastAsia="zh-CN"/>
        </w:rPr>
      </w:pPr>
    </w:p>
    <w:p>
      <w:pPr>
        <w:pStyle w:val="4"/>
        <w:numPr>
          <w:ilvl w:val="1"/>
          <w:numId w:val="2"/>
        </w:numPr>
        <w:bidi w:val="0"/>
        <w:rPr>
          <w:rFonts w:hint="eastAsia"/>
          <w:lang w:val="en-US" w:eastAsia="zh-CN"/>
        </w:rPr>
      </w:pPr>
      <w:bookmarkStart w:id="1" w:name="_Toc16515"/>
      <w:r>
        <w:rPr>
          <w:rFonts w:hint="default"/>
          <w:vertAlign w:val="baseline"/>
          <w:lang w:val="en-US" w:eastAsia="zh-CN"/>
        </w:rPr>
        <w:t>收益分配测试</w:t>
      </w:r>
      <w:bookmarkEnd w:id="1"/>
    </w:p>
    <w:p>
      <w:pPr>
        <w:pStyle w:val="5"/>
        <w:numPr>
          <w:ilvl w:val="2"/>
          <w:numId w:val="2"/>
        </w:numPr>
        <w:bidi w:val="0"/>
        <w:ind w:left="0" w:leftChars="0" w:firstLine="0" w:firstLineChars="0"/>
        <w:rPr>
          <w:rFonts w:hint="eastAsia"/>
          <w:lang w:val="en-US" w:eastAsia="zh-CN"/>
        </w:rPr>
      </w:pPr>
      <w:r>
        <w:rPr>
          <w:rFonts w:hint="eastAsia"/>
          <w:lang w:val="en-US" w:eastAsia="zh-CN"/>
        </w:rPr>
        <w:t>测试范围</w:t>
      </w:r>
    </w:p>
    <w:p>
      <w:pPr>
        <w:numPr>
          <w:ilvl w:val="0"/>
          <w:numId w:val="0"/>
        </w:numPr>
        <w:ind w:leftChars="0" w:firstLine="420"/>
        <w:rPr>
          <w:rFonts w:hint="eastAsia"/>
          <w:sz w:val="22"/>
          <w:szCs w:val="22"/>
          <w:highlight w:val="none"/>
          <w:lang w:val="en-US" w:eastAsia="zh-CN"/>
        </w:rPr>
      </w:pPr>
      <w:r>
        <w:rPr>
          <w:rFonts w:hint="eastAsia"/>
          <w:sz w:val="22"/>
          <w:szCs w:val="22"/>
          <w:highlight w:val="none"/>
          <w:lang w:val="en-US" w:eastAsia="zh-CN"/>
        </w:rPr>
        <w:t>本次测试的目的是验证129个项目跑20210322分配日，验证收益分配明细和交易确认查询。详细范围如下：</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0"/>
        <w:gridCol w:w="6236"/>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序号</w:t>
            </w:r>
          </w:p>
        </w:tc>
        <w:tc>
          <w:tcPr>
            <w:tcW w:w="3659"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测试内容</w:t>
            </w:r>
          </w:p>
        </w:tc>
        <w:tc>
          <w:tcPr>
            <w:tcW w:w="952"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3659" w:type="pct"/>
            <w:vAlign w:val="center"/>
          </w:tcPr>
          <w:p>
            <w:pPr>
              <w:numPr>
                <w:ilvl w:val="0"/>
                <w:numId w:val="0"/>
              </w:numPr>
              <w:jc w:val="left"/>
              <w:rPr>
                <w:rFonts w:hint="default"/>
                <w:vertAlign w:val="baseline"/>
                <w:lang w:val="en-US" w:eastAsia="zh-CN"/>
              </w:rPr>
            </w:pPr>
            <w:r>
              <w:rPr>
                <w:rFonts w:hint="eastAsia"/>
                <w:vertAlign w:val="baseline"/>
                <w:lang w:val="en-US" w:eastAsia="zh-CN"/>
              </w:rPr>
              <w:t>跑分配日20210322日数据，从收益预分配开始跑，跑完后注意看下利益分配明细表</w:t>
            </w:r>
          </w:p>
        </w:tc>
        <w:tc>
          <w:tcPr>
            <w:tcW w:w="952" w:type="pct"/>
            <w:vAlign w:val="center"/>
          </w:tcPr>
          <w:p>
            <w:pPr>
              <w:numPr>
                <w:ilvl w:val="0"/>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7"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3659" w:type="pct"/>
            <w:vAlign w:val="center"/>
          </w:tcPr>
          <w:p>
            <w:pPr>
              <w:numPr>
                <w:ilvl w:val="0"/>
                <w:numId w:val="0"/>
              </w:numPr>
              <w:jc w:val="left"/>
              <w:rPr>
                <w:rFonts w:hint="default"/>
                <w:highlight w:val="yellow"/>
                <w:vertAlign w:val="baseline"/>
                <w:lang w:val="en-US" w:eastAsia="zh-CN"/>
              </w:rPr>
            </w:pPr>
            <w:r>
              <w:rPr>
                <w:rFonts w:hint="eastAsia"/>
                <w:vertAlign w:val="baseline"/>
                <w:lang w:val="en-US" w:eastAsia="zh-CN"/>
              </w:rPr>
              <w:t>跑分配日20210322日数据，从收益预分配开始跑，跑完后注意看下利益分配明细表、交易确认查询</w:t>
            </w:r>
          </w:p>
        </w:tc>
        <w:tc>
          <w:tcPr>
            <w:tcW w:w="952" w:type="pct"/>
            <w:vAlign w:val="center"/>
          </w:tcPr>
          <w:p>
            <w:pPr>
              <w:numPr>
                <w:ilvl w:val="0"/>
                <w:numId w:val="0"/>
              </w:numPr>
              <w:jc w:val="center"/>
              <w:rPr>
                <w:rFonts w:hint="default"/>
                <w:vertAlign w:val="baseline"/>
                <w:lang w:val="en-US" w:eastAsia="zh-CN"/>
              </w:rPr>
            </w:pPr>
          </w:p>
        </w:tc>
      </w:tr>
    </w:tbl>
    <w:p>
      <w:pPr>
        <w:numPr>
          <w:ilvl w:val="0"/>
          <w:numId w:val="0"/>
        </w:numPr>
        <w:rPr>
          <w:rFonts w:hint="default"/>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测试方法</w:t>
      </w:r>
    </w:p>
    <w:p>
      <w:pPr>
        <w:numPr>
          <w:ilvl w:val="0"/>
          <w:numId w:val="0"/>
        </w:numPr>
        <w:ind w:leftChars="0" w:firstLine="420"/>
        <w:rPr>
          <w:rFonts w:hint="eastAsia"/>
          <w:sz w:val="22"/>
          <w:szCs w:val="22"/>
          <w:highlight w:val="none"/>
          <w:lang w:val="en-US" w:eastAsia="zh-CN"/>
        </w:rPr>
      </w:pPr>
      <w:r>
        <w:rPr>
          <w:rFonts w:hint="eastAsia"/>
          <w:sz w:val="22"/>
          <w:szCs w:val="22"/>
          <w:highlight w:val="none"/>
          <w:lang w:val="en-US" w:eastAsia="zh-CN"/>
        </w:rPr>
        <w:t>验证129个项目跑20210322分配日，</w:t>
      </w:r>
      <w:r>
        <w:rPr>
          <w:rFonts w:hint="eastAsia"/>
          <w:highlight w:val="none"/>
          <w:vertAlign w:val="baseline"/>
          <w:lang w:val="en-US" w:eastAsia="zh-CN"/>
        </w:rPr>
        <w:t>从收益预分配开始跑，跑完后</w:t>
      </w:r>
      <w:r>
        <w:rPr>
          <w:rFonts w:hint="eastAsia"/>
          <w:sz w:val="22"/>
          <w:szCs w:val="22"/>
          <w:highlight w:val="none"/>
          <w:lang w:val="en-US" w:eastAsia="zh-CN"/>
        </w:rPr>
        <w:t>检验利益分配明细和交易确认查询；详细情况如下表：</w:t>
      </w: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3613"/>
        <w:gridCol w:w="4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序号</w:t>
            </w:r>
          </w:p>
        </w:tc>
        <w:tc>
          <w:tcPr>
            <w:tcW w:w="212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测试内容</w:t>
            </w:r>
          </w:p>
        </w:tc>
        <w:tc>
          <w:tcPr>
            <w:tcW w:w="2489"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核对标准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2120" w:type="pct"/>
            <w:vAlign w:val="center"/>
          </w:tcPr>
          <w:p>
            <w:pPr>
              <w:numPr>
                <w:ilvl w:val="0"/>
                <w:numId w:val="0"/>
              </w:numPr>
              <w:jc w:val="left"/>
              <w:rPr>
                <w:rFonts w:hint="eastAsia"/>
                <w:vertAlign w:val="baseline"/>
                <w:lang w:val="en-US" w:eastAsia="zh-CN"/>
              </w:rPr>
            </w:pPr>
            <w:r>
              <w:rPr>
                <w:rFonts w:hint="eastAsia"/>
                <w:vertAlign w:val="baseline"/>
                <w:lang w:val="en-US" w:eastAsia="zh-CN"/>
              </w:rPr>
              <w:t>跑分配日20210322日数据，从收益预分配开始跑，跑完后核对利益分配明细表、交易确认查询</w:t>
            </w:r>
          </w:p>
          <w:p>
            <w:pPr>
              <w:numPr>
                <w:ilvl w:val="0"/>
                <w:numId w:val="0"/>
              </w:numPr>
              <w:jc w:val="left"/>
              <w:rPr>
                <w:rFonts w:hint="default"/>
                <w:vertAlign w:val="baseline"/>
                <w:lang w:val="en-US" w:eastAsia="zh-CN"/>
              </w:rPr>
            </w:pPr>
          </w:p>
          <w:p>
            <w:pPr>
              <w:numPr>
                <w:ilvl w:val="0"/>
                <w:numId w:val="0"/>
              </w:numPr>
              <w:jc w:val="left"/>
              <w:rPr>
                <w:rFonts w:hint="default"/>
                <w:vertAlign w:val="baseline"/>
                <w:lang w:val="en-US" w:eastAsia="zh-CN"/>
              </w:rPr>
            </w:pPr>
          </w:p>
        </w:tc>
        <w:tc>
          <w:tcPr>
            <w:tcW w:w="2489" w:type="pct"/>
            <w:vAlign w:val="center"/>
          </w:tcPr>
          <w:p>
            <w:pPr>
              <w:numPr>
                <w:ilvl w:val="0"/>
                <w:numId w:val="0"/>
              </w:numPr>
              <w:jc w:val="left"/>
              <w:rPr>
                <w:rFonts w:hint="eastAsia"/>
                <w:vertAlign w:val="baseline"/>
                <w:lang w:val="en-US" w:eastAsia="zh-CN"/>
              </w:rPr>
            </w:pPr>
            <w:r>
              <w:rPr>
                <w:rFonts w:hint="eastAsia"/>
                <w:vertAlign w:val="baseline"/>
                <w:lang w:val="en-US" w:eastAsia="zh-CN"/>
              </w:rPr>
              <w:t>1、跑流程的时候，除了注意业务逻辑对不对，也要注意页面的展示</w:t>
            </w:r>
          </w:p>
          <w:p>
            <w:pPr>
              <w:numPr>
                <w:ilvl w:val="0"/>
                <w:numId w:val="0"/>
              </w:numPr>
              <w:jc w:val="left"/>
              <w:rPr>
                <w:rFonts w:hint="eastAsia"/>
                <w:vertAlign w:val="baseline"/>
                <w:lang w:val="en-US" w:eastAsia="zh-CN"/>
              </w:rPr>
            </w:pPr>
            <w:r>
              <w:rPr>
                <w:rFonts w:hint="eastAsia"/>
                <w:vertAlign w:val="baseline"/>
                <w:lang w:val="en-US" w:eastAsia="zh-CN"/>
              </w:rPr>
              <w:t>2、跑分配日20210322日数据，从收益预分配开始跑，跑完后注意看下利益分配明细表</w:t>
            </w:r>
          </w:p>
          <w:p>
            <w:pPr>
              <w:numPr>
                <w:ilvl w:val="0"/>
                <w:numId w:val="0"/>
              </w:numPr>
              <w:jc w:val="left"/>
              <w:rPr>
                <w:rFonts w:hint="eastAsia"/>
                <w:vertAlign w:val="baseline"/>
                <w:lang w:val="en-US" w:eastAsia="zh-CN"/>
              </w:rPr>
            </w:pPr>
            <w:r>
              <w:rPr>
                <w:rFonts w:hint="eastAsia"/>
                <w:vertAlign w:val="baseline"/>
                <w:lang w:val="en-US" w:eastAsia="zh-CN"/>
              </w:rPr>
              <w:t>3、跑分配日20210322日数据，从收益预分配开始跑，跑完后注意看下利益分配明细表</w:t>
            </w:r>
          </w:p>
          <w:p>
            <w:pPr>
              <w:numPr>
                <w:ilvl w:val="0"/>
                <w:numId w:val="0"/>
              </w:numPr>
              <w:jc w:val="left"/>
              <w:rPr>
                <w:rFonts w:hint="default"/>
                <w:vertAlign w:val="baseline"/>
                <w:lang w:val="en-US" w:eastAsia="zh-CN"/>
              </w:rPr>
            </w:pPr>
            <w:r>
              <w:rPr>
                <w:rFonts w:hint="eastAsia"/>
                <w:vertAlign w:val="baseline"/>
                <w:lang w:val="en-US" w:eastAsia="zh-CN"/>
              </w:rPr>
              <w:t>4、跑分配日20210322日数据，从收益预分配开始跑，跑完后注意看下利益分配明细表、交易确认查询</w:t>
            </w:r>
          </w:p>
        </w:tc>
      </w:tr>
    </w:tbl>
    <w:p>
      <w:pPr>
        <w:numPr>
          <w:ilvl w:val="0"/>
          <w:numId w:val="0"/>
        </w:numPr>
        <w:ind w:leftChars="0" w:firstLine="420"/>
        <w:rPr>
          <w:rFonts w:hint="eastAsia"/>
          <w:sz w:val="22"/>
          <w:szCs w:val="22"/>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缺陷统计分析</w:t>
      </w:r>
    </w:p>
    <w:p>
      <w:pPr>
        <w:numPr>
          <w:ilvl w:val="0"/>
          <w:numId w:val="0"/>
        </w:numPr>
        <w:ind w:leftChars="0" w:firstLine="420"/>
        <w:rPr>
          <w:rFonts w:hint="eastAsia" w:ascii="Arial" w:hAnsi="Arial" w:eastAsia="宋体" w:cs="Arial"/>
          <w:i w:val="0"/>
          <w:caps w:val="0"/>
          <w:color w:val="000000"/>
          <w:spacing w:val="0"/>
          <w:sz w:val="21"/>
          <w:szCs w:val="16"/>
          <w:shd w:val="clear" w:fill="FFFFFF"/>
          <w:lang w:eastAsia="zh-CN"/>
        </w:rPr>
      </w:pPr>
      <w:r>
        <w:rPr>
          <w:rFonts w:hint="eastAsia"/>
          <w:lang w:val="en-US" w:eastAsia="zh-CN"/>
        </w:rPr>
        <w:t>测试过程中发现的问题：</w:t>
      </w:r>
      <w:r>
        <w:rPr>
          <w:rFonts w:ascii="Arial" w:hAnsi="Arial" w:eastAsia="宋体" w:cs="Arial"/>
          <w:i w:val="0"/>
          <w:caps w:val="0"/>
          <w:color w:val="000000"/>
          <w:spacing w:val="0"/>
          <w:sz w:val="21"/>
          <w:szCs w:val="16"/>
          <w:shd w:val="clear" w:fill="FFFFFF"/>
        </w:rPr>
        <w:t>P2018M11SYHJK0001</w:t>
      </w:r>
      <w:r>
        <w:rPr>
          <w:rFonts w:hint="eastAsia" w:ascii="Arial" w:hAnsi="Arial" w:eastAsia="宋体" w:cs="Arial"/>
          <w:i w:val="0"/>
          <w:caps w:val="0"/>
          <w:color w:val="000000"/>
          <w:spacing w:val="0"/>
          <w:sz w:val="21"/>
          <w:szCs w:val="16"/>
          <w:shd w:val="clear" w:fill="FFFFFF"/>
          <w:lang w:eastAsia="zh-CN"/>
        </w:rPr>
        <w:t>，</w:t>
      </w:r>
      <w:r>
        <w:rPr>
          <w:rFonts w:hint="default" w:ascii="Arial" w:hAnsi="Arial" w:eastAsia="宋体" w:cs="Arial"/>
          <w:i w:val="0"/>
          <w:caps w:val="0"/>
          <w:color w:val="000000"/>
          <w:spacing w:val="0"/>
          <w:sz w:val="21"/>
          <w:szCs w:val="16"/>
          <w:shd w:val="clear" w:fill="FFFFFF"/>
        </w:rPr>
        <w:t>P2019M11SYMJT0001查询时查询不到交易确认信息，但是数据全部导出之后，可在导出的excel表格中查询到这两个项目编号；（87环境）</w:t>
      </w:r>
    </w:p>
    <w:p>
      <w:pPr>
        <w:pStyle w:val="4"/>
        <w:numPr>
          <w:ilvl w:val="1"/>
          <w:numId w:val="2"/>
        </w:numPr>
        <w:bidi w:val="0"/>
        <w:rPr>
          <w:rFonts w:hint="eastAsia"/>
          <w:lang w:val="en-US" w:eastAsia="zh-CN"/>
        </w:rPr>
      </w:pPr>
      <w:bookmarkStart w:id="2" w:name="_Toc31054"/>
      <w:r>
        <w:rPr>
          <w:rFonts w:hint="default"/>
          <w:vertAlign w:val="baseline"/>
          <w:lang w:val="en-US" w:eastAsia="zh-CN"/>
        </w:rPr>
        <w:t>家族信托/保险金信托存续项目</w:t>
      </w:r>
      <w:bookmarkEnd w:id="2"/>
      <w:r>
        <w:rPr>
          <w:rFonts w:hint="eastAsia"/>
          <w:vertAlign w:val="baseline"/>
          <w:lang w:val="en-US" w:eastAsia="zh-CN"/>
        </w:rPr>
        <w:t>数据核对与验证</w:t>
      </w:r>
    </w:p>
    <w:p>
      <w:pPr>
        <w:pStyle w:val="5"/>
        <w:numPr>
          <w:ilvl w:val="2"/>
          <w:numId w:val="2"/>
        </w:numPr>
        <w:bidi w:val="0"/>
        <w:ind w:left="0" w:leftChars="0" w:firstLine="0" w:firstLineChars="0"/>
        <w:rPr>
          <w:rFonts w:hint="eastAsia"/>
          <w:lang w:val="en-US" w:eastAsia="zh-CN"/>
        </w:rPr>
      </w:pPr>
      <w:r>
        <w:rPr>
          <w:rFonts w:hint="eastAsia"/>
          <w:lang w:val="en-US" w:eastAsia="zh-CN"/>
        </w:rPr>
        <w:t>测试范围</w:t>
      </w:r>
    </w:p>
    <w:p>
      <w:pPr>
        <w:numPr>
          <w:ilvl w:val="0"/>
          <w:numId w:val="0"/>
        </w:numPr>
        <w:ind w:leftChars="0" w:firstLine="420"/>
        <w:rPr>
          <w:rFonts w:hint="eastAsia"/>
          <w:sz w:val="22"/>
          <w:szCs w:val="22"/>
          <w:highlight w:val="none"/>
          <w:lang w:val="en-US" w:eastAsia="zh-CN"/>
        </w:rPr>
      </w:pPr>
      <w:r>
        <w:rPr>
          <w:rFonts w:hint="eastAsia"/>
          <w:sz w:val="22"/>
          <w:szCs w:val="22"/>
          <w:highlight w:val="none"/>
          <w:lang w:val="en-US" w:eastAsia="zh-CN"/>
        </w:rPr>
        <w:t>本次测试的目的是验证家族信托/保险金信托存续项目份额拆分后，收益权初始规模以及受益人开户数据核对以及验证家族信托/保险金信托存续项目份额拆分后数据的有效性验证；详细范围如下：</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1"/>
        <w:gridCol w:w="6236"/>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numPr>
                <w:ilvl w:val="0"/>
                <w:numId w:val="0"/>
              </w:numPr>
              <w:jc w:val="center"/>
              <w:rPr>
                <w:rFonts w:hint="default"/>
                <w:b/>
                <w:bCs/>
                <w:highlight w:val="none"/>
                <w:vertAlign w:val="baseline"/>
                <w:lang w:val="en-US" w:eastAsia="zh-CN"/>
              </w:rPr>
            </w:pPr>
            <w:r>
              <w:rPr>
                <w:rFonts w:hint="eastAsia"/>
                <w:b/>
                <w:bCs/>
                <w:highlight w:val="none"/>
                <w:vertAlign w:val="baseline"/>
                <w:lang w:val="en-US" w:eastAsia="zh-CN"/>
              </w:rPr>
              <w:t>序号</w:t>
            </w:r>
          </w:p>
        </w:tc>
        <w:tc>
          <w:tcPr>
            <w:tcW w:w="3659" w:type="pct"/>
            <w:vAlign w:val="center"/>
          </w:tcPr>
          <w:p>
            <w:pPr>
              <w:numPr>
                <w:ilvl w:val="0"/>
                <w:numId w:val="0"/>
              </w:numPr>
              <w:jc w:val="center"/>
              <w:rPr>
                <w:rFonts w:hint="default"/>
                <w:b/>
                <w:bCs/>
                <w:highlight w:val="none"/>
                <w:vertAlign w:val="baseline"/>
                <w:lang w:val="en-US" w:eastAsia="zh-CN"/>
              </w:rPr>
            </w:pPr>
            <w:r>
              <w:rPr>
                <w:rFonts w:hint="eastAsia"/>
                <w:b/>
                <w:bCs/>
                <w:highlight w:val="none"/>
                <w:vertAlign w:val="baseline"/>
                <w:lang w:val="en-US" w:eastAsia="zh-CN"/>
              </w:rPr>
              <w:t>测试内容</w:t>
            </w:r>
          </w:p>
        </w:tc>
        <w:tc>
          <w:tcPr>
            <w:tcW w:w="952" w:type="pct"/>
            <w:vAlign w:val="center"/>
          </w:tcPr>
          <w:p>
            <w:pPr>
              <w:numPr>
                <w:ilvl w:val="0"/>
                <w:numId w:val="0"/>
              </w:numPr>
              <w:jc w:val="center"/>
              <w:rPr>
                <w:rFonts w:hint="default"/>
                <w:b/>
                <w:bCs/>
                <w:highlight w:val="none"/>
                <w:vertAlign w:val="baseline"/>
                <w:lang w:val="en-US" w:eastAsia="zh-CN"/>
              </w:rPr>
            </w:pPr>
            <w:r>
              <w:rPr>
                <w:rFonts w:hint="eastAsia"/>
                <w:b/>
                <w:bCs/>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numPr>
                <w:ilvl w:val="0"/>
                <w:numId w:val="0"/>
              </w:numPr>
              <w:jc w:val="center"/>
              <w:rPr>
                <w:rFonts w:hint="default"/>
                <w:highlight w:val="none"/>
                <w:vertAlign w:val="baseline"/>
                <w:lang w:val="en-US" w:eastAsia="zh-CN"/>
              </w:rPr>
            </w:pPr>
            <w:r>
              <w:rPr>
                <w:rFonts w:hint="eastAsia"/>
                <w:highlight w:val="none"/>
                <w:vertAlign w:val="baseline"/>
                <w:lang w:val="en-US" w:eastAsia="zh-CN"/>
              </w:rPr>
              <w:t>1</w:t>
            </w:r>
          </w:p>
        </w:tc>
        <w:tc>
          <w:tcPr>
            <w:tcW w:w="3659" w:type="pct"/>
            <w:vAlign w:val="center"/>
          </w:tcPr>
          <w:p>
            <w:pPr>
              <w:numPr>
                <w:ilvl w:val="0"/>
                <w:numId w:val="0"/>
              </w:numPr>
              <w:jc w:val="left"/>
              <w:rPr>
                <w:rFonts w:hint="default"/>
                <w:highlight w:val="none"/>
                <w:vertAlign w:val="baseline"/>
                <w:lang w:val="en-US" w:eastAsia="zh-CN"/>
              </w:rPr>
            </w:pPr>
            <w:r>
              <w:rPr>
                <w:rFonts w:hint="eastAsia"/>
                <w:sz w:val="22"/>
                <w:szCs w:val="22"/>
                <w:highlight w:val="none"/>
                <w:lang w:val="en-US" w:eastAsia="zh-CN"/>
              </w:rPr>
              <w:t>家族信托/保险金信托存续项目份额拆分后，收益权初始规模以及受益人开户数据核对</w:t>
            </w:r>
          </w:p>
        </w:tc>
        <w:tc>
          <w:tcPr>
            <w:tcW w:w="952" w:type="pct"/>
            <w:vAlign w:val="center"/>
          </w:tcPr>
          <w:p>
            <w:pPr>
              <w:numPr>
                <w:ilvl w:val="0"/>
                <w:numId w:val="0"/>
              </w:numPr>
              <w:jc w:val="center"/>
              <w:rPr>
                <w:rFonts w:hint="default"/>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numPr>
                <w:ilvl w:val="0"/>
                <w:numId w:val="0"/>
              </w:numPr>
              <w:jc w:val="center"/>
              <w:rPr>
                <w:rFonts w:hint="default"/>
                <w:highlight w:val="none"/>
                <w:vertAlign w:val="baseline"/>
                <w:lang w:val="en-US" w:eastAsia="zh-CN"/>
              </w:rPr>
            </w:pPr>
            <w:r>
              <w:rPr>
                <w:rFonts w:hint="eastAsia"/>
                <w:highlight w:val="none"/>
                <w:vertAlign w:val="baseline"/>
                <w:lang w:val="en-US" w:eastAsia="zh-CN"/>
              </w:rPr>
              <w:t>2</w:t>
            </w:r>
          </w:p>
        </w:tc>
        <w:tc>
          <w:tcPr>
            <w:tcW w:w="3659" w:type="pct"/>
            <w:vAlign w:val="center"/>
          </w:tcPr>
          <w:p>
            <w:pPr>
              <w:numPr>
                <w:ilvl w:val="0"/>
                <w:numId w:val="0"/>
              </w:numPr>
              <w:jc w:val="left"/>
              <w:rPr>
                <w:rFonts w:hint="default"/>
                <w:highlight w:val="none"/>
                <w:vertAlign w:val="baseline"/>
                <w:lang w:val="en-US" w:eastAsia="zh-CN"/>
              </w:rPr>
            </w:pPr>
            <w:r>
              <w:rPr>
                <w:rFonts w:hint="eastAsia"/>
                <w:sz w:val="22"/>
                <w:szCs w:val="22"/>
                <w:highlight w:val="none"/>
                <w:lang w:val="en-US" w:eastAsia="zh-CN"/>
              </w:rPr>
              <w:t>族信托/保险金信托存续项目份额拆分后数据的有效性验证</w:t>
            </w:r>
          </w:p>
        </w:tc>
        <w:tc>
          <w:tcPr>
            <w:tcW w:w="952" w:type="pct"/>
            <w:vAlign w:val="center"/>
          </w:tcPr>
          <w:p>
            <w:pPr>
              <w:numPr>
                <w:ilvl w:val="0"/>
                <w:numId w:val="0"/>
              </w:numPr>
              <w:jc w:val="center"/>
              <w:rPr>
                <w:rFonts w:hint="default"/>
                <w:highlight w:val="none"/>
                <w:vertAlign w:val="baseline"/>
                <w:lang w:val="en-US" w:eastAsia="zh-CN"/>
              </w:rPr>
            </w:pPr>
          </w:p>
        </w:tc>
      </w:tr>
    </w:tbl>
    <w:p>
      <w:pPr>
        <w:numPr>
          <w:ilvl w:val="0"/>
          <w:numId w:val="0"/>
        </w:numPr>
        <w:rPr>
          <w:rFonts w:hint="default"/>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测试方法</w:t>
      </w:r>
    </w:p>
    <w:p>
      <w:pPr>
        <w:numPr>
          <w:ilvl w:val="0"/>
          <w:numId w:val="0"/>
        </w:numPr>
        <w:ind w:leftChars="0" w:firstLine="420"/>
        <w:rPr>
          <w:rFonts w:hint="eastAsia"/>
          <w:sz w:val="22"/>
          <w:szCs w:val="22"/>
          <w:lang w:val="en-US" w:eastAsia="zh-CN"/>
        </w:rPr>
      </w:pPr>
      <w:r>
        <w:rPr>
          <w:rFonts w:hint="default"/>
          <w:vertAlign w:val="baseline"/>
          <w:lang w:val="en-US" w:eastAsia="zh-CN"/>
        </w:rPr>
        <w:t>家族信托/保险金信托存续项目（包括初始化份额的项目）份额拆分，受益权初始规模，受益人开户数据核对</w:t>
      </w:r>
      <w:r>
        <w:rPr>
          <w:rFonts w:hint="eastAsia"/>
          <w:sz w:val="22"/>
          <w:szCs w:val="22"/>
          <w:lang w:val="en-US" w:eastAsia="zh-CN"/>
        </w:rPr>
        <w:t>依据金证提供的测试案例场景测试；详细情况如下表：</w:t>
      </w: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3613"/>
        <w:gridCol w:w="4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序号</w:t>
            </w:r>
          </w:p>
        </w:tc>
        <w:tc>
          <w:tcPr>
            <w:tcW w:w="212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测试内容</w:t>
            </w:r>
          </w:p>
        </w:tc>
        <w:tc>
          <w:tcPr>
            <w:tcW w:w="2489"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核对标准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2120" w:type="pct"/>
            <w:vAlign w:val="center"/>
          </w:tcPr>
          <w:p>
            <w:pPr>
              <w:numPr>
                <w:ilvl w:val="0"/>
                <w:numId w:val="5"/>
              </w:numPr>
              <w:jc w:val="left"/>
              <w:rPr>
                <w:rFonts w:hint="eastAsia"/>
                <w:sz w:val="22"/>
                <w:szCs w:val="22"/>
                <w:highlight w:val="none"/>
                <w:lang w:val="en-US" w:eastAsia="zh-CN"/>
              </w:rPr>
            </w:pPr>
            <w:r>
              <w:rPr>
                <w:rFonts w:hint="eastAsia"/>
                <w:sz w:val="22"/>
                <w:szCs w:val="22"/>
                <w:highlight w:val="none"/>
                <w:lang w:val="en-US" w:eastAsia="zh-CN"/>
              </w:rPr>
              <w:t>家族信托/保险金信托存续项目份额拆分后，收益权初始规模以及受益人开户数据核对</w:t>
            </w:r>
          </w:p>
          <w:p>
            <w:pPr>
              <w:numPr>
                <w:ilvl w:val="0"/>
                <w:numId w:val="0"/>
              </w:numPr>
              <w:jc w:val="left"/>
              <w:rPr>
                <w:rFonts w:hint="default"/>
                <w:sz w:val="22"/>
                <w:szCs w:val="22"/>
                <w:highlight w:val="none"/>
                <w:lang w:val="en-US" w:eastAsia="zh-CN"/>
              </w:rPr>
            </w:pPr>
          </w:p>
        </w:tc>
        <w:tc>
          <w:tcPr>
            <w:tcW w:w="2489" w:type="pct"/>
            <w:vAlign w:val="center"/>
          </w:tcPr>
          <w:p>
            <w:pPr>
              <w:numPr>
                <w:ilvl w:val="0"/>
                <w:numId w:val="0"/>
              </w:numPr>
              <w:jc w:val="left"/>
              <w:rPr>
                <w:rFonts w:hint="eastAsia"/>
                <w:highlight w:val="none"/>
                <w:vertAlign w:val="baseline"/>
                <w:lang w:val="en-US" w:eastAsia="zh-CN"/>
              </w:rPr>
            </w:pPr>
            <w:r>
              <w:rPr>
                <w:rFonts w:hint="eastAsia"/>
                <w:highlight w:val="none"/>
                <w:vertAlign w:val="baseline"/>
                <w:lang w:val="en-US" w:eastAsia="zh-CN"/>
              </w:rPr>
              <w:t>1.根据开发提供《组合投资部家族信托现金及资产受益权登记清单》中的项目以及受益权成立规模的数据，在171环境受益人信息查询交易核对受益权成立规模；</w:t>
            </w:r>
          </w:p>
          <w:p>
            <w:pPr>
              <w:numPr>
                <w:ilvl w:val="0"/>
                <w:numId w:val="0"/>
              </w:numPr>
              <w:jc w:val="left"/>
              <w:rPr>
                <w:rFonts w:hint="eastAsia"/>
                <w:highlight w:val="none"/>
                <w:vertAlign w:val="baseline"/>
                <w:lang w:val="en-US" w:eastAsia="zh-CN"/>
              </w:rPr>
            </w:pPr>
            <w:r>
              <w:rPr>
                <w:rFonts w:hint="eastAsia"/>
                <w:highlight w:val="none"/>
                <w:vertAlign w:val="baseline"/>
                <w:lang w:val="en-US" w:eastAsia="zh-CN"/>
              </w:rPr>
              <w:t>2.根据开发提供《保险金信托权益份额拆分-v1-ZG3.30(四舍五入后)》中的受益人姓名，在171环境账户信息查询中核对受益人开户情况；</w:t>
            </w:r>
          </w:p>
          <w:p>
            <w:pPr>
              <w:numPr>
                <w:ilvl w:val="0"/>
                <w:numId w:val="0"/>
              </w:numPr>
              <w:jc w:val="left"/>
              <w:rPr>
                <w:rFonts w:hint="default"/>
                <w:highlight w:val="none"/>
                <w:vertAlign w:val="baseline"/>
                <w:lang w:val="en-US" w:eastAsia="zh-CN"/>
              </w:rPr>
            </w:pPr>
            <w:r>
              <w:rPr>
                <w:rFonts w:hint="eastAsia"/>
                <w:highlight w:val="none"/>
                <w:vertAlign w:val="baseline"/>
                <w:lang w:val="en-US" w:eastAsia="zh-CN"/>
              </w:rPr>
              <w:t>3.根据开发提供《保险金信托权益份额拆分-v1-ZG3.30(四舍五入后)》中的项目以及受益权对应的现金受益权存续规模、资产受益权存续规模以及受益人所持资金份额余额、受益人所持资产份额余额数据，在171环境客户份额明细查询，客户份额汇总查询，受益人权益份额余额查询，受益人权益份额明细查询交易中核对份额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2120" w:type="pct"/>
            <w:vAlign w:val="center"/>
          </w:tcPr>
          <w:p>
            <w:pPr>
              <w:numPr>
                <w:ilvl w:val="0"/>
                <w:numId w:val="0"/>
              </w:numPr>
              <w:jc w:val="left"/>
              <w:rPr>
                <w:rFonts w:hint="default"/>
                <w:sz w:val="22"/>
                <w:szCs w:val="22"/>
                <w:highlight w:val="none"/>
                <w:lang w:val="en-US" w:eastAsia="zh-CN"/>
              </w:rPr>
            </w:pPr>
            <w:r>
              <w:rPr>
                <w:rFonts w:hint="eastAsia"/>
                <w:sz w:val="22"/>
                <w:szCs w:val="22"/>
                <w:highlight w:val="none"/>
                <w:lang w:val="en-US" w:eastAsia="zh-CN"/>
              </w:rPr>
              <w:t>1、族信托/保险金信托存续项目份额拆分后数据的有效性验证</w:t>
            </w:r>
          </w:p>
        </w:tc>
        <w:tc>
          <w:tcPr>
            <w:tcW w:w="2489" w:type="pct"/>
            <w:vAlign w:val="center"/>
          </w:tcPr>
          <w:p>
            <w:pPr>
              <w:numPr>
                <w:ilvl w:val="0"/>
                <w:numId w:val="0"/>
              </w:numPr>
              <w:jc w:val="left"/>
              <w:rPr>
                <w:rFonts w:hint="eastAsia"/>
                <w:highlight w:val="none"/>
                <w:vertAlign w:val="baseline"/>
                <w:lang w:val="en-US" w:eastAsia="zh-CN"/>
              </w:rPr>
            </w:pPr>
            <w:r>
              <w:rPr>
                <w:rFonts w:hint="eastAsia"/>
                <w:highlight w:val="none"/>
                <w:vertAlign w:val="baseline"/>
                <w:lang w:val="en-US" w:eastAsia="zh-CN"/>
              </w:rPr>
              <w:t>家族信托/保险金信托存续项目（包括初始化份额的项目）在171上的功能测试 测试方法  1.首先去受益权管理 看下有没有开放日 没有开放日自己设置 2.交易中心  新增 合同录入 复核 3.去交易申请里查询是否成功 4.运营清算 新增 净值录入 复核 5.开放日清算（交易清算）（份额交收）</w:t>
            </w:r>
          </w:p>
        </w:tc>
      </w:tr>
    </w:tbl>
    <w:p>
      <w:pPr>
        <w:numPr>
          <w:ilvl w:val="0"/>
          <w:numId w:val="0"/>
        </w:numPr>
        <w:ind w:leftChars="0" w:firstLine="420"/>
        <w:rPr>
          <w:rFonts w:hint="eastAsia"/>
          <w:sz w:val="22"/>
          <w:szCs w:val="22"/>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缺陷统计分析</w:t>
      </w:r>
    </w:p>
    <w:p>
      <w:pPr>
        <w:numPr>
          <w:ilvl w:val="0"/>
          <w:numId w:val="0"/>
        </w:numPr>
        <w:ind w:firstLine="420" w:firstLineChars="200"/>
        <w:rPr>
          <w:rFonts w:hint="eastAsia"/>
          <w:lang w:val="en-US" w:eastAsia="zh-CN"/>
        </w:rPr>
      </w:pPr>
      <w:r>
        <w:rPr>
          <w:rFonts w:hint="eastAsia"/>
          <w:lang w:val="en-US" w:eastAsia="zh-CN"/>
        </w:rPr>
        <w:t>测试共发现5个问题，测试人员以过程留痕为原则进行登记，由金证测试和开发人员进行分析定位，但因开发较忙，暂未确认缺陷的有效性。</w:t>
      </w:r>
    </w:p>
    <w:p>
      <w:pPr>
        <w:numPr>
          <w:ilvl w:val="0"/>
          <w:numId w:val="0"/>
        </w:numPr>
        <w:ind w:leftChars="0" w:firstLine="420"/>
        <w:rPr>
          <w:rFonts w:hint="default" w:ascii="Arial" w:hAnsi="Arial" w:eastAsia="宋体" w:cs="Arial"/>
          <w:i w:val="0"/>
          <w:caps w:val="0"/>
          <w:color w:val="000000"/>
          <w:spacing w:val="0"/>
          <w:sz w:val="21"/>
          <w:szCs w:val="16"/>
          <w:shd w:val="clear" w:fill="FFFFFF"/>
          <w:lang w:val="en-US" w:eastAsia="zh-CN"/>
        </w:rPr>
      </w:pPr>
    </w:p>
    <w:p>
      <w:pPr>
        <w:pStyle w:val="4"/>
        <w:numPr>
          <w:ilvl w:val="1"/>
          <w:numId w:val="2"/>
        </w:numPr>
        <w:bidi w:val="0"/>
        <w:rPr>
          <w:rFonts w:hint="eastAsia"/>
          <w:lang w:val="en-US" w:eastAsia="zh-CN"/>
        </w:rPr>
      </w:pPr>
      <w:bookmarkStart w:id="3" w:name="_Toc19855"/>
      <w:r>
        <w:rPr>
          <w:rFonts w:hint="default"/>
          <w:vertAlign w:val="baseline"/>
          <w:lang w:val="en-US" w:eastAsia="zh-CN"/>
        </w:rPr>
        <w:t>准生产环境的基本功能排查（不操作现有项目）</w:t>
      </w:r>
      <w:bookmarkEnd w:id="3"/>
    </w:p>
    <w:p>
      <w:pPr>
        <w:pStyle w:val="5"/>
        <w:numPr>
          <w:ilvl w:val="2"/>
          <w:numId w:val="2"/>
        </w:numPr>
        <w:bidi w:val="0"/>
        <w:ind w:left="0" w:leftChars="0" w:firstLine="0" w:firstLineChars="0"/>
        <w:rPr>
          <w:rFonts w:hint="eastAsia"/>
          <w:lang w:val="en-US" w:eastAsia="zh-CN"/>
        </w:rPr>
      </w:pPr>
      <w:r>
        <w:rPr>
          <w:rFonts w:hint="eastAsia"/>
          <w:lang w:val="en-US" w:eastAsia="zh-CN"/>
        </w:rPr>
        <w:t>测试范围</w:t>
      </w:r>
    </w:p>
    <w:p>
      <w:pPr>
        <w:numPr>
          <w:ilvl w:val="0"/>
          <w:numId w:val="0"/>
        </w:numPr>
        <w:ind w:leftChars="0" w:firstLine="420"/>
        <w:rPr>
          <w:rFonts w:hint="default"/>
          <w:lang w:val="en-US" w:eastAsia="zh-CN"/>
        </w:rPr>
      </w:pPr>
      <w:r>
        <w:rPr>
          <w:rFonts w:hint="eastAsia"/>
          <w:sz w:val="22"/>
          <w:szCs w:val="22"/>
          <w:lang w:val="en-US" w:eastAsia="zh-CN"/>
        </w:rPr>
        <w:t>本次测试的范围是验证准生产环境的系统设置、账户中心、产品管理、交易中心、运营清算5个模块下所有功能。</w:t>
      </w:r>
    </w:p>
    <w:p>
      <w:pPr>
        <w:pStyle w:val="5"/>
        <w:numPr>
          <w:ilvl w:val="2"/>
          <w:numId w:val="2"/>
        </w:numPr>
        <w:bidi w:val="0"/>
        <w:ind w:left="0" w:leftChars="0" w:firstLine="0" w:firstLineChars="0"/>
        <w:rPr>
          <w:rFonts w:hint="eastAsia"/>
          <w:lang w:val="en-US" w:eastAsia="zh-CN"/>
        </w:rPr>
      </w:pPr>
      <w:r>
        <w:rPr>
          <w:rFonts w:hint="eastAsia"/>
          <w:lang w:val="en-US" w:eastAsia="zh-CN"/>
        </w:rPr>
        <w:t>测试方法</w:t>
      </w:r>
    </w:p>
    <w:p>
      <w:pPr>
        <w:numPr>
          <w:ilvl w:val="0"/>
          <w:numId w:val="0"/>
        </w:numPr>
        <w:ind w:leftChars="0" w:firstLine="420"/>
        <w:rPr>
          <w:rFonts w:hint="eastAsia"/>
          <w:sz w:val="22"/>
          <w:szCs w:val="22"/>
          <w:lang w:val="en-US" w:eastAsia="zh-CN"/>
        </w:rPr>
      </w:pPr>
      <w:r>
        <w:rPr>
          <w:rFonts w:hint="eastAsia"/>
          <w:sz w:val="22"/>
          <w:szCs w:val="22"/>
          <w:lang w:val="en-US" w:eastAsia="zh-CN"/>
        </w:rPr>
        <w:t>验证准生产环境的各个模块的查询、增删改查以及相互关联的业务模块的功能完整性；详细情况如下表：</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
        <w:gridCol w:w="3511"/>
        <w:gridCol w:w="4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序号</w:t>
            </w:r>
          </w:p>
        </w:tc>
        <w:tc>
          <w:tcPr>
            <w:tcW w:w="206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测试内容</w:t>
            </w:r>
          </w:p>
        </w:tc>
        <w:tc>
          <w:tcPr>
            <w:tcW w:w="2489"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核对标准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2060" w:type="pct"/>
            <w:vAlign w:val="center"/>
          </w:tcPr>
          <w:p>
            <w:pPr>
              <w:numPr>
                <w:ilvl w:val="0"/>
                <w:numId w:val="0"/>
              </w:numPr>
              <w:jc w:val="center"/>
              <w:rPr>
                <w:rFonts w:hint="default"/>
                <w:sz w:val="18"/>
                <w:szCs w:val="18"/>
                <w:vertAlign w:val="baseline"/>
                <w:lang w:val="en-US" w:eastAsia="zh-CN"/>
              </w:rPr>
            </w:pPr>
            <w:r>
              <w:rPr>
                <w:rFonts w:hint="eastAsia"/>
                <w:vertAlign w:val="baseline"/>
                <w:lang w:val="en-US" w:eastAsia="zh-CN"/>
              </w:rPr>
              <w:t>系统设置</w:t>
            </w:r>
          </w:p>
        </w:tc>
        <w:tc>
          <w:tcPr>
            <w:tcW w:w="2489" w:type="pct"/>
            <w:vMerge w:val="restart"/>
            <w:vAlign w:val="center"/>
          </w:tcPr>
          <w:p>
            <w:pPr>
              <w:numPr>
                <w:ilvl w:val="0"/>
                <w:numId w:val="0"/>
              </w:numPr>
              <w:jc w:val="left"/>
              <w:rPr>
                <w:rFonts w:hint="default"/>
                <w:vertAlign w:val="baseline"/>
                <w:lang w:val="en-US" w:eastAsia="zh-CN"/>
              </w:rPr>
            </w:pPr>
            <w:r>
              <w:rPr>
                <w:rFonts w:hint="eastAsia"/>
                <w:highlight w:val="none"/>
                <w:vertAlign w:val="baseline"/>
                <w:lang w:val="en-US" w:eastAsia="zh-CN"/>
              </w:rPr>
              <w:t>1、页面数据展示正确；</w:t>
            </w:r>
            <w:r>
              <w:rPr>
                <w:rFonts w:hint="eastAsia"/>
                <w:highlight w:val="none"/>
                <w:vertAlign w:val="baseline"/>
                <w:lang w:val="en-US" w:eastAsia="zh-CN"/>
              </w:rPr>
              <w:br w:type="textWrapping"/>
            </w:r>
            <w:r>
              <w:rPr>
                <w:rFonts w:hint="eastAsia"/>
                <w:highlight w:val="none"/>
                <w:vertAlign w:val="baseline"/>
                <w:lang w:val="en-US" w:eastAsia="zh-CN"/>
              </w:rPr>
              <w:t>2、组合条件查询、精确查询功能正确；</w:t>
            </w:r>
            <w:r>
              <w:rPr>
                <w:rFonts w:hint="eastAsia"/>
                <w:highlight w:val="none"/>
                <w:vertAlign w:val="baseline"/>
                <w:lang w:val="en-US" w:eastAsia="zh-CN"/>
              </w:rPr>
              <w:br w:type="textWrapping"/>
            </w:r>
            <w:r>
              <w:rPr>
                <w:rFonts w:hint="eastAsia"/>
                <w:highlight w:val="none"/>
                <w:vertAlign w:val="baseline"/>
                <w:lang w:val="en-US" w:eastAsia="zh-CN"/>
              </w:rPr>
              <w:t>3、翻页、跳转等功能正确；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2060" w:type="pct"/>
            <w:vAlign w:val="center"/>
          </w:tcPr>
          <w:p>
            <w:pPr>
              <w:numPr>
                <w:ilvl w:val="0"/>
                <w:numId w:val="0"/>
              </w:numPr>
              <w:jc w:val="center"/>
              <w:rPr>
                <w:rFonts w:hint="eastAsia"/>
                <w:vertAlign w:val="baseline"/>
                <w:lang w:val="en-US" w:eastAsia="zh-CN"/>
              </w:rPr>
            </w:pPr>
            <w:r>
              <w:rPr>
                <w:rFonts w:hint="eastAsia"/>
                <w:vertAlign w:val="baseline"/>
                <w:lang w:val="en-US" w:eastAsia="zh-CN"/>
              </w:rPr>
              <w:t>账户中心</w:t>
            </w:r>
          </w:p>
        </w:tc>
        <w:tc>
          <w:tcPr>
            <w:tcW w:w="2489" w:type="pct"/>
            <w:vMerge w:val="continue"/>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2060" w:type="pct"/>
            <w:vAlign w:val="center"/>
          </w:tcPr>
          <w:p>
            <w:pPr>
              <w:numPr>
                <w:ilvl w:val="0"/>
                <w:numId w:val="0"/>
              </w:numPr>
              <w:jc w:val="center"/>
              <w:rPr>
                <w:rFonts w:hint="eastAsia"/>
                <w:vertAlign w:val="baseline"/>
                <w:lang w:val="en-US" w:eastAsia="zh-CN"/>
              </w:rPr>
            </w:pPr>
            <w:r>
              <w:rPr>
                <w:rFonts w:hint="eastAsia"/>
                <w:vertAlign w:val="baseline"/>
                <w:lang w:val="en-US" w:eastAsia="zh-CN"/>
              </w:rPr>
              <w:t>产品管理</w:t>
            </w:r>
          </w:p>
        </w:tc>
        <w:tc>
          <w:tcPr>
            <w:tcW w:w="2489" w:type="pct"/>
            <w:vMerge w:val="continue"/>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 w:type="pct"/>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2060" w:type="pct"/>
            <w:vAlign w:val="center"/>
          </w:tcPr>
          <w:p>
            <w:pPr>
              <w:numPr>
                <w:ilvl w:val="0"/>
                <w:numId w:val="0"/>
              </w:numPr>
              <w:jc w:val="center"/>
              <w:rPr>
                <w:rFonts w:hint="eastAsia"/>
                <w:vertAlign w:val="baseline"/>
                <w:lang w:val="en-US" w:eastAsia="zh-CN"/>
              </w:rPr>
            </w:pPr>
            <w:r>
              <w:rPr>
                <w:rFonts w:hint="eastAsia"/>
                <w:vertAlign w:val="baseline"/>
                <w:lang w:val="en-US" w:eastAsia="zh-CN"/>
              </w:rPr>
              <w:t>交易中心</w:t>
            </w:r>
          </w:p>
        </w:tc>
        <w:tc>
          <w:tcPr>
            <w:tcW w:w="2489" w:type="pct"/>
            <w:vMerge w:val="continue"/>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 w:type="pct"/>
            <w:vAlign w:val="center"/>
          </w:tcPr>
          <w:p>
            <w:pPr>
              <w:numPr>
                <w:ilvl w:val="0"/>
                <w:numId w:val="0"/>
              </w:numPr>
              <w:jc w:val="center"/>
              <w:rPr>
                <w:rFonts w:hint="default"/>
                <w:vertAlign w:val="baseline"/>
                <w:lang w:val="en-US" w:eastAsia="zh-CN"/>
              </w:rPr>
            </w:pPr>
            <w:r>
              <w:rPr>
                <w:rFonts w:hint="eastAsia"/>
                <w:vertAlign w:val="baseline"/>
                <w:lang w:val="en-US" w:eastAsia="zh-CN"/>
              </w:rPr>
              <w:t>5</w:t>
            </w:r>
          </w:p>
        </w:tc>
        <w:tc>
          <w:tcPr>
            <w:tcW w:w="2060" w:type="pct"/>
            <w:vAlign w:val="center"/>
          </w:tcPr>
          <w:p>
            <w:pPr>
              <w:numPr>
                <w:ilvl w:val="0"/>
                <w:numId w:val="0"/>
              </w:numPr>
              <w:jc w:val="center"/>
              <w:rPr>
                <w:rFonts w:hint="eastAsia"/>
                <w:vertAlign w:val="baseline"/>
                <w:lang w:val="en-US" w:eastAsia="zh-CN"/>
              </w:rPr>
            </w:pPr>
            <w:r>
              <w:rPr>
                <w:rFonts w:hint="eastAsia"/>
                <w:vertAlign w:val="baseline"/>
                <w:lang w:val="en-US" w:eastAsia="zh-CN"/>
              </w:rPr>
              <w:t>运营清算</w:t>
            </w:r>
          </w:p>
        </w:tc>
        <w:tc>
          <w:tcPr>
            <w:tcW w:w="2489" w:type="pct"/>
            <w:vMerge w:val="continue"/>
            <w:vAlign w:val="center"/>
          </w:tcPr>
          <w:p>
            <w:pPr>
              <w:numPr>
                <w:ilvl w:val="0"/>
                <w:numId w:val="0"/>
              </w:numPr>
              <w:jc w:val="center"/>
              <w:rPr>
                <w:rFonts w:hint="eastAsia"/>
                <w:vertAlign w:val="baseline"/>
                <w:lang w:val="en-US" w:eastAsia="zh-CN"/>
              </w:rPr>
            </w:pPr>
          </w:p>
        </w:tc>
      </w:tr>
    </w:tbl>
    <w:p>
      <w:pPr>
        <w:numPr>
          <w:ilvl w:val="0"/>
          <w:numId w:val="0"/>
        </w:numPr>
        <w:ind w:leftChars="0" w:firstLine="420"/>
        <w:rPr>
          <w:rFonts w:hint="eastAsia"/>
          <w:sz w:val="22"/>
          <w:szCs w:val="22"/>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缺陷统计分析</w:t>
      </w:r>
    </w:p>
    <w:p>
      <w:pPr>
        <w:numPr>
          <w:ilvl w:val="0"/>
          <w:numId w:val="0"/>
        </w:numPr>
        <w:ind w:firstLine="420" w:firstLineChars="200"/>
        <w:rPr>
          <w:rFonts w:hint="eastAsia"/>
          <w:lang w:val="en-US" w:eastAsia="zh-CN"/>
        </w:rPr>
      </w:pPr>
      <w:r>
        <w:rPr>
          <w:rFonts w:hint="eastAsia"/>
          <w:lang w:val="en-US" w:eastAsia="zh-CN"/>
        </w:rPr>
        <w:t xml:space="preserve">  测试共发现23个问题，测试人员以过程留痕为原则进行登记，由金证测试和开发人员进行分析定位，但因开发较忙，暂未确认缺陷的有效性。</w:t>
      </w:r>
    </w:p>
    <w:p>
      <w:pPr>
        <w:numPr>
          <w:ilvl w:val="0"/>
          <w:numId w:val="0"/>
        </w:numPr>
        <w:ind w:leftChars="0" w:firstLine="420"/>
        <w:rPr>
          <w:rFonts w:hint="default" w:ascii="Arial" w:hAnsi="Arial" w:eastAsia="宋体" w:cs="Arial"/>
          <w:i w:val="0"/>
          <w:caps w:val="0"/>
          <w:color w:val="000000"/>
          <w:spacing w:val="0"/>
          <w:sz w:val="21"/>
          <w:szCs w:val="16"/>
          <w:shd w:val="clear" w:fill="FFFFFF"/>
          <w:lang w:val="en-US" w:eastAsia="zh-CN"/>
        </w:rPr>
      </w:pPr>
    </w:p>
    <w:p>
      <w:pPr>
        <w:pStyle w:val="4"/>
        <w:numPr>
          <w:ilvl w:val="1"/>
          <w:numId w:val="2"/>
        </w:numPr>
        <w:bidi w:val="0"/>
        <w:rPr>
          <w:rFonts w:hint="eastAsia"/>
          <w:lang w:val="en-US" w:eastAsia="zh-CN"/>
        </w:rPr>
      </w:pPr>
      <w:bookmarkStart w:id="4" w:name="_Toc8732"/>
      <w:r>
        <w:rPr>
          <w:rFonts w:hint="eastAsia"/>
          <w:vertAlign w:val="baseline"/>
          <w:lang w:val="en-US" w:eastAsia="zh-CN"/>
        </w:rPr>
        <w:t>WMS</w:t>
      </w:r>
      <w:r>
        <w:rPr>
          <w:rFonts w:hint="default"/>
          <w:vertAlign w:val="baseline"/>
          <w:lang w:val="en-US" w:eastAsia="zh-CN"/>
        </w:rPr>
        <w:t>接口测试</w:t>
      </w:r>
      <w:bookmarkEnd w:id="4"/>
    </w:p>
    <w:p>
      <w:pPr>
        <w:pStyle w:val="5"/>
        <w:numPr>
          <w:ilvl w:val="2"/>
          <w:numId w:val="2"/>
        </w:numPr>
        <w:bidi w:val="0"/>
        <w:ind w:left="0" w:leftChars="0" w:firstLine="0" w:firstLineChars="0"/>
        <w:rPr>
          <w:rFonts w:hint="eastAsia"/>
          <w:lang w:val="en-US" w:eastAsia="zh-CN"/>
        </w:rPr>
      </w:pPr>
      <w:r>
        <w:rPr>
          <w:rFonts w:hint="eastAsia"/>
          <w:lang w:val="en-US" w:eastAsia="zh-CN"/>
        </w:rPr>
        <w:t>测试范围</w:t>
      </w:r>
    </w:p>
    <w:p>
      <w:pPr>
        <w:numPr>
          <w:ilvl w:val="0"/>
          <w:numId w:val="0"/>
        </w:numPr>
        <w:ind w:leftChars="0" w:firstLine="420"/>
        <w:rPr>
          <w:rFonts w:hint="eastAsia"/>
          <w:sz w:val="22"/>
          <w:szCs w:val="22"/>
          <w:highlight w:val="none"/>
          <w:lang w:val="en-US" w:eastAsia="zh-CN"/>
        </w:rPr>
      </w:pPr>
      <w:r>
        <w:rPr>
          <w:rFonts w:hint="eastAsia"/>
          <w:sz w:val="22"/>
          <w:szCs w:val="22"/>
          <w:lang w:val="en-US" w:eastAsia="zh-CN"/>
        </w:rPr>
        <w:t>本次测试的目的是验证WMS向TA推送交易的6个接口，包括：</w:t>
      </w:r>
      <w:r>
        <w:rPr>
          <w:rFonts w:hint="eastAsia"/>
          <w:highlight w:val="none"/>
          <w:vertAlign w:val="baseline"/>
          <w:lang w:val="en-US" w:eastAsia="zh-CN"/>
        </w:rPr>
        <w:t>认购、追加申购、特殊赎回、资产转换、受益人信息变更、开放日设置。</w:t>
      </w:r>
    </w:p>
    <w:p>
      <w:pPr>
        <w:numPr>
          <w:ilvl w:val="0"/>
          <w:numId w:val="0"/>
        </w:numPr>
        <w:rPr>
          <w:rFonts w:hint="default"/>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测试方法</w:t>
      </w:r>
    </w:p>
    <w:p>
      <w:pPr>
        <w:numPr>
          <w:ilvl w:val="0"/>
          <w:numId w:val="0"/>
        </w:numPr>
        <w:ind w:leftChars="0" w:firstLine="420"/>
        <w:rPr>
          <w:rFonts w:hint="eastAsia"/>
          <w:sz w:val="22"/>
          <w:szCs w:val="22"/>
          <w:lang w:val="en-US" w:eastAsia="zh-CN"/>
        </w:rPr>
      </w:pPr>
      <w:r>
        <w:rPr>
          <w:rFonts w:hint="eastAsia"/>
          <w:sz w:val="22"/>
          <w:szCs w:val="22"/>
          <w:lang w:val="en-US" w:eastAsia="zh-CN"/>
        </w:rPr>
        <w:t>WMS接口测试运用jmeter工具，测接口前期准备文件：接口文档，报文，接口测试案例，然后按照业务流程造数据，编写接口脚本，发送请求，接口成功后去TA去做数据处理，在家族信托查询里查看是否存在相关交易，断言结果；详细情况如下表：</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2067"/>
        <w:gridCol w:w="5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9"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序号</w:t>
            </w:r>
          </w:p>
        </w:tc>
        <w:tc>
          <w:tcPr>
            <w:tcW w:w="1213"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接口名称</w:t>
            </w:r>
          </w:p>
        </w:tc>
        <w:tc>
          <w:tcPr>
            <w:tcW w:w="3397"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389"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1213" w:type="pct"/>
            <w:vAlign w:val="center"/>
          </w:tcPr>
          <w:p>
            <w:pPr>
              <w:numPr>
                <w:ilvl w:val="0"/>
                <w:numId w:val="0"/>
              </w:numPr>
              <w:jc w:val="left"/>
              <w:rPr>
                <w:rFonts w:hint="default"/>
                <w:vertAlign w:val="baseline"/>
                <w:lang w:val="en-US" w:eastAsia="zh-CN"/>
              </w:rPr>
            </w:pPr>
            <w:r>
              <w:rPr>
                <w:rFonts w:hint="eastAsia"/>
                <w:vertAlign w:val="baseline"/>
                <w:lang w:val="en-US" w:eastAsia="zh-CN"/>
              </w:rPr>
              <w:t>认购</w:t>
            </w:r>
          </w:p>
        </w:tc>
        <w:tc>
          <w:tcPr>
            <w:tcW w:w="3397"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default"/>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9"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1213" w:type="pct"/>
            <w:vAlign w:val="center"/>
          </w:tcPr>
          <w:p>
            <w:pPr>
              <w:numPr>
                <w:ilvl w:val="0"/>
                <w:numId w:val="0"/>
              </w:numPr>
              <w:jc w:val="left"/>
              <w:rPr>
                <w:rFonts w:hint="eastAsia"/>
                <w:vertAlign w:val="baseline"/>
                <w:lang w:val="en-US" w:eastAsia="zh-CN"/>
              </w:rPr>
            </w:pPr>
            <w:r>
              <w:rPr>
                <w:rFonts w:hint="eastAsia"/>
                <w:vertAlign w:val="baseline"/>
                <w:lang w:val="en-US" w:eastAsia="zh-CN"/>
              </w:rPr>
              <w:t>追加申购</w:t>
            </w:r>
          </w:p>
        </w:tc>
        <w:tc>
          <w:tcPr>
            <w:tcW w:w="3397"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default"/>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9"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1213" w:type="pct"/>
            <w:vAlign w:val="center"/>
          </w:tcPr>
          <w:p>
            <w:pPr>
              <w:numPr>
                <w:ilvl w:val="0"/>
                <w:numId w:val="0"/>
              </w:numPr>
              <w:jc w:val="left"/>
              <w:rPr>
                <w:rFonts w:hint="eastAsia"/>
                <w:vertAlign w:val="baseline"/>
                <w:lang w:val="en-US" w:eastAsia="zh-CN"/>
              </w:rPr>
            </w:pPr>
            <w:r>
              <w:rPr>
                <w:rFonts w:hint="eastAsia"/>
                <w:vertAlign w:val="baseline"/>
                <w:lang w:val="en-US" w:eastAsia="zh-CN"/>
              </w:rPr>
              <w:t>特殊赎回</w:t>
            </w:r>
          </w:p>
        </w:tc>
        <w:tc>
          <w:tcPr>
            <w:tcW w:w="3397"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default"/>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9" w:type="pct"/>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1213" w:type="pct"/>
            <w:vAlign w:val="center"/>
          </w:tcPr>
          <w:p>
            <w:pPr>
              <w:numPr>
                <w:ilvl w:val="0"/>
                <w:numId w:val="0"/>
              </w:numPr>
              <w:jc w:val="left"/>
              <w:rPr>
                <w:rFonts w:hint="eastAsia"/>
                <w:vertAlign w:val="baseline"/>
                <w:lang w:val="en-US" w:eastAsia="zh-CN"/>
              </w:rPr>
            </w:pPr>
            <w:r>
              <w:rPr>
                <w:rFonts w:hint="eastAsia"/>
                <w:vertAlign w:val="baseline"/>
                <w:lang w:val="en-US" w:eastAsia="zh-CN"/>
              </w:rPr>
              <w:t>资产转换</w:t>
            </w:r>
          </w:p>
        </w:tc>
        <w:tc>
          <w:tcPr>
            <w:tcW w:w="3397"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default"/>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9" w:type="pct"/>
            <w:vAlign w:val="center"/>
          </w:tcPr>
          <w:p>
            <w:pPr>
              <w:numPr>
                <w:ilvl w:val="0"/>
                <w:numId w:val="0"/>
              </w:numPr>
              <w:jc w:val="center"/>
              <w:rPr>
                <w:rFonts w:hint="default"/>
                <w:vertAlign w:val="baseline"/>
                <w:lang w:val="en-US" w:eastAsia="zh-CN"/>
              </w:rPr>
            </w:pPr>
            <w:r>
              <w:rPr>
                <w:rFonts w:hint="eastAsia"/>
                <w:vertAlign w:val="baseline"/>
                <w:lang w:val="en-US" w:eastAsia="zh-CN"/>
              </w:rPr>
              <w:t>5</w:t>
            </w:r>
          </w:p>
        </w:tc>
        <w:tc>
          <w:tcPr>
            <w:tcW w:w="1213" w:type="pct"/>
            <w:vAlign w:val="center"/>
          </w:tcPr>
          <w:p>
            <w:pPr>
              <w:numPr>
                <w:ilvl w:val="0"/>
                <w:numId w:val="0"/>
              </w:numPr>
              <w:jc w:val="left"/>
              <w:rPr>
                <w:rFonts w:hint="eastAsia"/>
                <w:vertAlign w:val="baseline"/>
                <w:lang w:val="en-US" w:eastAsia="zh-CN"/>
              </w:rPr>
            </w:pPr>
            <w:r>
              <w:rPr>
                <w:rFonts w:hint="eastAsia"/>
                <w:vertAlign w:val="baseline"/>
                <w:lang w:val="en-US" w:eastAsia="zh-CN"/>
              </w:rPr>
              <w:t>受益人信息变更</w:t>
            </w:r>
          </w:p>
        </w:tc>
        <w:tc>
          <w:tcPr>
            <w:tcW w:w="3397"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default"/>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9" w:type="pct"/>
            <w:vAlign w:val="center"/>
          </w:tcPr>
          <w:p>
            <w:pPr>
              <w:numPr>
                <w:ilvl w:val="0"/>
                <w:numId w:val="0"/>
              </w:numPr>
              <w:jc w:val="center"/>
              <w:rPr>
                <w:rFonts w:hint="default"/>
                <w:vertAlign w:val="baseline"/>
                <w:lang w:val="en-US" w:eastAsia="zh-CN"/>
              </w:rPr>
            </w:pPr>
            <w:r>
              <w:rPr>
                <w:rFonts w:hint="eastAsia"/>
                <w:vertAlign w:val="baseline"/>
                <w:lang w:val="en-US" w:eastAsia="zh-CN"/>
              </w:rPr>
              <w:t>6</w:t>
            </w:r>
          </w:p>
        </w:tc>
        <w:tc>
          <w:tcPr>
            <w:tcW w:w="1213" w:type="pct"/>
            <w:vAlign w:val="center"/>
          </w:tcPr>
          <w:p>
            <w:pPr>
              <w:numPr>
                <w:ilvl w:val="0"/>
                <w:numId w:val="0"/>
              </w:numPr>
              <w:jc w:val="left"/>
              <w:rPr>
                <w:rFonts w:hint="eastAsia"/>
                <w:vertAlign w:val="baseline"/>
                <w:lang w:val="en-US" w:eastAsia="zh-CN"/>
              </w:rPr>
            </w:pPr>
            <w:r>
              <w:rPr>
                <w:rFonts w:hint="eastAsia"/>
                <w:vertAlign w:val="baseline"/>
                <w:lang w:val="en-US" w:eastAsia="zh-CN"/>
              </w:rPr>
              <w:t>开放日设置</w:t>
            </w:r>
          </w:p>
        </w:tc>
        <w:tc>
          <w:tcPr>
            <w:tcW w:w="3397"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default"/>
                <w:vertAlign w:val="baseline"/>
                <w:lang w:val="en-US" w:eastAsia="zh-CN"/>
              </w:rPr>
            </w:pPr>
            <w:r>
              <w:rPr>
                <w:rFonts w:hint="eastAsia"/>
                <w:vertAlign w:val="baseline"/>
                <w:lang w:val="en-US" w:eastAsia="zh-CN"/>
              </w:rPr>
              <w:t>3、TA系统中，家族信托查询里边可以查询到相关交易</w:t>
            </w:r>
          </w:p>
        </w:tc>
      </w:tr>
    </w:tbl>
    <w:p>
      <w:pPr>
        <w:numPr>
          <w:ilvl w:val="0"/>
          <w:numId w:val="0"/>
        </w:numPr>
        <w:ind w:leftChars="0" w:firstLine="420"/>
        <w:rPr>
          <w:rFonts w:hint="eastAsia"/>
          <w:sz w:val="22"/>
          <w:szCs w:val="22"/>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缺陷统计分析</w:t>
      </w:r>
    </w:p>
    <w:p>
      <w:pPr>
        <w:numPr>
          <w:ilvl w:val="0"/>
          <w:numId w:val="0"/>
        </w:numPr>
        <w:rPr>
          <w:rFonts w:hint="eastAsia"/>
          <w:lang w:val="en-US" w:eastAsia="zh-CN"/>
        </w:rPr>
      </w:pPr>
      <w:r>
        <w:rPr>
          <w:rFonts w:hint="eastAsia"/>
          <w:lang w:val="en-US" w:eastAsia="zh-CN"/>
        </w:rPr>
        <w:t xml:space="preserve">  测试未发现问题</w:t>
      </w:r>
    </w:p>
    <w:p>
      <w:pPr>
        <w:numPr>
          <w:ilvl w:val="0"/>
          <w:numId w:val="0"/>
        </w:numPr>
        <w:rPr>
          <w:rFonts w:hint="eastAsia"/>
          <w:lang w:val="en-US" w:eastAsia="zh-CN"/>
        </w:rPr>
      </w:pPr>
    </w:p>
    <w:p>
      <w:pPr>
        <w:pStyle w:val="4"/>
        <w:numPr>
          <w:ilvl w:val="1"/>
          <w:numId w:val="2"/>
        </w:numPr>
        <w:bidi w:val="0"/>
        <w:rPr>
          <w:rFonts w:hint="eastAsia"/>
          <w:lang w:val="en-US" w:eastAsia="zh-CN"/>
        </w:rPr>
      </w:pPr>
      <w:r>
        <w:rPr>
          <w:rFonts w:hint="eastAsia"/>
          <w:lang w:val="en-US" w:eastAsia="zh-CN"/>
        </w:rPr>
        <w:t>代销导入</w:t>
      </w:r>
    </w:p>
    <w:p>
      <w:pPr>
        <w:pStyle w:val="5"/>
        <w:numPr>
          <w:ilvl w:val="2"/>
          <w:numId w:val="2"/>
        </w:numPr>
        <w:bidi w:val="0"/>
        <w:ind w:left="0" w:leftChars="0" w:firstLine="0" w:firstLineChars="0"/>
        <w:rPr>
          <w:rFonts w:hint="eastAsia"/>
          <w:lang w:val="en-US" w:eastAsia="zh-CN"/>
        </w:rPr>
      </w:pPr>
      <w:r>
        <w:rPr>
          <w:rFonts w:hint="eastAsia"/>
          <w:lang w:val="en-US" w:eastAsia="zh-CN"/>
        </w:rPr>
        <w:t>测试范围</w:t>
      </w:r>
    </w:p>
    <w:p>
      <w:pPr>
        <w:numPr>
          <w:ilvl w:val="0"/>
          <w:numId w:val="0"/>
        </w:numPr>
        <w:ind w:leftChars="0" w:firstLine="420"/>
        <w:rPr>
          <w:rFonts w:hint="eastAsia"/>
          <w:sz w:val="22"/>
          <w:szCs w:val="22"/>
          <w:lang w:val="en-US" w:eastAsia="zh-CN"/>
        </w:rPr>
      </w:pPr>
      <w:r>
        <w:rPr>
          <w:rFonts w:hint="eastAsia"/>
          <w:sz w:val="22"/>
          <w:szCs w:val="22"/>
          <w:lang w:val="en-US" w:eastAsia="zh-CN"/>
        </w:rPr>
        <w:t>本次测试的范围是验证代销数据导入，包含01账户文件，03交易文件，43电子文件等，代销导入，账户清算，交易预检，交易预确认，发行成立，开放日清算，份额交收，如若是信惠产品，需要把份额交收以后流程都走完，导出时候先代销数据确认，再查看下交易确认时间，按照交易确认时间导出，最后与生产导出数据核对验证；</w:t>
      </w:r>
    </w:p>
    <w:p>
      <w:pPr>
        <w:numPr>
          <w:ilvl w:val="0"/>
          <w:numId w:val="0"/>
        </w:numPr>
        <w:rPr>
          <w:rFonts w:hint="default"/>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测试方法</w:t>
      </w:r>
    </w:p>
    <w:p>
      <w:pPr>
        <w:numPr>
          <w:ilvl w:val="0"/>
          <w:numId w:val="0"/>
        </w:numPr>
        <w:ind w:leftChars="0" w:firstLine="420"/>
        <w:rPr>
          <w:rFonts w:hint="eastAsia"/>
          <w:sz w:val="22"/>
          <w:szCs w:val="22"/>
          <w:lang w:val="en-US" w:eastAsia="zh-CN"/>
        </w:rPr>
      </w:pPr>
      <w:r>
        <w:rPr>
          <w:rFonts w:hint="eastAsia"/>
          <w:sz w:val="22"/>
          <w:szCs w:val="22"/>
          <w:lang w:val="en-US" w:eastAsia="zh-CN"/>
        </w:rPr>
        <w:t>WMS接口测试运用jmeter工具，测接口前期准备文件：接口文档，报文，接口测试案例，然后按照业务流程造数据，编写接口脚本，发送请求，接口成功后去TA去做数据处理，在家族信托查询里边查看是否存在相关交易，断言结果；详细情况如下表：</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9"/>
        <w:gridCol w:w="3030"/>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序号</w:t>
            </w:r>
          </w:p>
        </w:tc>
        <w:tc>
          <w:tcPr>
            <w:tcW w:w="1778"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测试内容</w:t>
            </w:r>
          </w:p>
        </w:tc>
        <w:tc>
          <w:tcPr>
            <w:tcW w:w="274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核对标准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1778" w:type="pct"/>
            <w:vAlign w:val="center"/>
          </w:tcPr>
          <w:p>
            <w:pPr>
              <w:numPr>
                <w:ilvl w:val="0"/>
                <w:numId w:val="0"/>
              </w:numPr>
              <w:jc w:val="left"/>
              <w:rPr>
                <w:rFonts w:hint="default"/>
                <w:vertAlign w:val="baseline"/>
                <w:lang w:val="en-US" w:eastAsia="zh-CN"/>
              </w:rPr>
            </w:pPr>
            <w:r>
              <w:rPr>
                <w:rFonts w:hint="eastAsia"/>
                <w:vertAlign w:val="baseline"/>
                <w:lang w:val="en-US" w:eastAsia="zh-CN"/>
              </w:rPr>
              <w:t>代销导入</w:t>
            </w:r>
          </w:p>
        </w:tc>
        <w:tc>
          <w:tcPr>
            <w:tcW w:w="2740" w:type="pct"/>
            <w:vAlign w:val="center"/>
          </w:tcPr>
          <w:p>
            <w:pPr>
              <w:numPr>
                <w:ilvl w:val="0"/>
                <w:numId w:val="6"/>
              </w:numPr>
              <w:jc w:val="left"/>
              <w:rPr>
                <w:rFonts w:hint="eastAsia"/>
                <w:vertAlign w:val="baseline"/>
                <w:lang w:val="en-US" w:eastAsia="zh-CN"/>
              </w:rPr>
            </w:pPr>
            <w:r>
              <w:rPr>
                <w:rFonts w:hint="eastAsia"/>
                <w:vertAlign w:val="baseline"/>
                <w:lang w:val="en-US" w:eastAsia="zh-CN"/>
              </w:rPr>
              <w:t>查看日志不报错</w:t>
            </w:r>
          </w:p>
          <w:p>
            <w:pPr>
              <w:numPr>
                <w:ilvl w:val="0"/>
                <w:numId w:val="6"/>
              </w:numPr>
              <w:jc w:val="left"/>
              <w:rPr>
                <w:rFonts w:hint="default"/>
                <w:vertAlign w:val="baseline"/>
                <w:lang w:val="en-US" w:eastAsia="zh-CN"/>
              </w:rPr>
            </w:pPr>
            <w:r>
              <w:rPr>
                <w:rFonts w:hint="eastAsia"/>
                <w:vertAlign w:val="baseline"/>
                <w:lang w:val="en-US" w:eastAsia="zh-CN"/>
              </w:rPr>
              <w:t>导入数据条目一致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1778" w:type="pct"/>
            <w:vAlign w:val="center"/>
          </w:tcPr>
          <w:p>
            <w:pPr>
              <w:numPr>
                <w:ilvl w:val="0"/>
                <w:numId w:val="0"/>
              </w:numPr>
              <w:jc w:val="left"/>
              <w:rPr>
                <w:rFonts w:hint="eastAsia"/>
                <w:vertAlign w:val="baseline"/>
                <w:lang w:val="en-US" w:eastAsia="zh-CN"/>
              </w:rPr>
            </w:pPr>
            <w:r>
              <w:rPr>
                <w:rFonts w:hint="eastAsia"/>
                <w:vertAlign w:val="baseline"/>
                <w:lang w:val="en-US" w:eastAsia="zh-CN"/>
              </w:rPr>
              <w:t>账户清算</w:t>
            </w:r>
          </w:p>
        </w:tc>
        <w:tc>
          <w:tcPr>
            <w:tcW w:w="2740" w:type="pct"/>
            <w:vMerge w:val="restart"/>
            <w:vAlign w:val="center"/>
          </w:tcPr>
          <w:p>
            <w:pPr>
              <w:numPr>
                <w:ilvl w:val="0"/>
                <w:numId w:val="0"/>
              </w:numPr>
              <w:jc w:val="left"/>
              <w:rPr>
                <w:rFonts w:hint="eastAsia"/>
                <w:vertAlign w:val="baseline"/>
                <w:lang w:val="en-US" w:eastAsia="zh-CN"/>
              </w:rPr>
            </w:pPr>
            <w:r>
              <w:rPr>
                <w:rFonts w:hint="eastAsia"/>
                <w:vertAlign w:val="baseline"/>
                <w:lang w:val="en-US" w:eastAsia="zh-CN"/>
              </w:rPr>
              <w:t>查看日志不报错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1778" w:type="pct"/>
            <w:vAlign w:val="center"/>
          </w:tcPr>
          <w:p>
            <w:pPr>
              <w:numPr>
                <w:ilvl w:val="0"/>
                <w:numId w:val="0"/>
              </w:numPr>
              <w:jc w:val="left"/>
              <w:rPr>
                <w:rFonts w:hint="default"/>
                <w:vertAlign w:val="baseline"/>
                <w:lang w:val="en-US" w:eastAsia="zh-CN"/>
              </w:rPr>
            </w:pPr>
            <w:r>
              <w:rPr>
                <w:rFonts w:hint="eastAsia"/>
                <w:vertAlign w:val="baseline"/>
                <w:lang w:val="en-US" w:eastAsia="zh-CN"/>
              </w:rPr>
              <w:t>交易预检</w:t>
            </w:r>
          </w:p>
        </w:tc>
        <w:tc>
          <w:tcPr>
            <w:tcW w:w="2740" w:type="pct"/>
            <w:vMerge w:val="continue"/>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 w:type="pct"/>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1778" w:type="pct"/>
            <w:vAlign w:val="center"/>
          </w:tcPr>
          <w:p>
            <w:pPr>
              <w:numPr>
                <w:ilvl w:val="0"/>
                <w:numId w:val="0"/>
              </w:numPr>
              <w:jc w:val="left"/>
              <w:rPr>
                <w:rFonts w:hint="eastAsia"/>
                <w:vertAlign w:val="baseline"/>
                <w:lang w:val="en-US" w:eastAsia="zh-CN"/>
              </w:rPr>
            </w:pPr>
            <w:r>
              <w:rPr>
                <w:rFonts w:hint="eastAsia"/>
                <w:vertAlign w:val="baseline"/>
                <w:lang w:val="en-US" w:eastAsia="zh-CN"/>
              </w:rPr>
              <w:t>交易预确认</w:t>
            </w:r>
          </w:p>
        </w:tc>
        <w:tc>
          <w:tcPr>
            <w:tcW w:w="2740" w:type="pct"/>
            <w:vMerge w:val="continue"/>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 w:type="pct"/>
            <w:vAlign w:val="center"/>
          </w:tcPr>
          <w:p>
            <w:pPr>
              <w:numPr>
                <w:ilvl w:val="0"/>
                <w:numId w:val="0"/>
              </w:numPr>
              <w:jc w:val="center"/>
              <w:rPr>
                <w:rFonts w:hint="default"/>
                <w:vertAlign w:val="baseline"/>
                <w:lang w:val="en-US" w:eastAsia="zh-CN"/>
              </w:rPr>
            </w:pPr>
            <w:r>
              <w:rPr>
                <w:rFonts w:hint="eastAsia"/>
                <w:vertAlign w:val="baseline"/>
                <w:lang w:val="en-US" w:eastAsia="zh-CN"/>
              </w:rPr>
              <w:t>5</w:t>
            </w:r>
          </w:p>
        </w:tc>
        <w:tc>
          <w:tcPr>
            <w:tcW w:w="1778" w:type="pct"/>
            <w:vAlign w:val="center"/>
          </w:tcPr>
          <w:p>
            <w:pPr>
              <w:numPr>
                <w:ilvl w:val="0"/>
                <w:numId w:val="0"/>
              </w:numPr>
              <w:jc w:val="left"/>
              <w:rPr>
                <w:rFonts w:hint="eastAsia"/>
                <w:vertAlign w:val="baseline"/>
                <w:lang w:val="en-US" w:eastAsia="zh-CN"/>
              </w:rPr>
            </w:pPr>
            <w:r>
              <w:rPr>
                <w:rFonts w:hint="eastAsia"/>
                <w:vertAlign w:val="baseline"/>
                <w:lang w:val="en-US" w:eastAsia="zh-CN"/>
              </w:rPr>
              <w:t>发行成立</w:t>
            </w:r>
          </w:p>
        </w:tc>
        <w:tc>
          <w:tcPr>
            <w:tcW w:w="2740" w:type="pct"/>
            <w:vMerge w:val="continue"/>
            <w:vAlign w:val="center"/>
          </w:tcPr>
          <w:p>
            <w:pPr>
              <w:numPr>
                <w:ilvl w:val="0"/>
                <w:numId w:val="0"/>
              </w:num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 w:type="pct"/>
            <w:vAlign w:val="center"/>
          </w:tcPr>
          <w:p>
            <w:pPr>
              <w:numPr>
                <w:ilvl w:val="0"/>
                <w:numId w:val="0"/>
              </w:numPr>
              <w:jc w:val="center"/>
              <w:rPr>
                <w:rFonts w:hint="default"/>
                <w:vertAlign w:val="baseline"/>
                <w:lang w:val="en-US" w:eastAsia="zh-CN"/>
              </w:rPr>
            </w:pPr>
            <w:r>
              <w:rPr>
                <w:rFonts w:hint="eastAsia"/>
                <w:vertAlign w:val="baseline"/>
                <w:lang w:val="en-US" w:eastAsia="zh-CN"/>
              </w:rPr>
              <w:t>6</w:t>
            </w:r>
          </w:p>
        </w:tc>
        <w:tc>
          <w:tcPr>
            <w:tcW w:w="1778" w:type="pct"/>
            <w:vAlign w:val="center"/>
          </w:tcPr>
          <w:p>
            <w:pPr>
              <w:numPr>
                <w:ilvl w:val="0"/>
                <w:numId w:val="0"/>
              </w:numPr>
              <w:jc w:val="left"/>
              <w:rPr>
                <w:rFonts w:hint="eastAsia"/>
                <w:vertAlign w:val="baseline"/>
                <w:lang w:val="en-US" w:eastAsia="zh-CN"/>
              </w:rPr>
            </w:pPr>
            <w:r>
              <w:rPr>
                <w:rFonts w:hint="eastAsia"/>
                <w:vertAlign w:val="baseline"/>
                <w:lang w:val="en-US" w:eastAsia="zh-CN"/>
              </w:rPr>
              <w:t>开放日清算</w:t>
            </w:r>
          </w:p>
        </w:tc>
        <w:tc>
          <w:tcPr>
            <w:tcW w:w="2740" w:type="pct"/>
            <w:vMerge w:val="continue"/>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 w:type="pct"/>
            <w:vAlign w:val="center"/>
          </w:tcPr>
          <w:p>
            <w:pPr>
              <w:numPr>
                <w:ilvl w:val="0"/>
                <w:numId w:val="0"/>
              </w:numPr>
              <w:jc w:val="center"/>
              <w:rPr>
                <w:rFonts w:hint="default"/>
                <w:vertAlign w:val="baseline"/>
                <w:lang w:val="en-US" w:eastAsia="zh-CN"/>
              </w:rPr>
            </w:pPr>
            <w:r>
              <w:rPr>
                <w:rFonts w:hint="eastAsia"/>
                <w:vertAlign w:val="baseline"/>
                <w:lang w:val="en-US" w:eastAsia="zh-CN"/>
              </w:rPr>
              <w:t>7</w:t>
            </w:r>
          </w:p>
        </w:tc>
        <w:tc>
          <w:tcPr>
            <w:tcW w:w="1778" w:type="pct"/>
            <w:vAlign w:val="center"/>
          </w:tcPr>
          <w:p>
            <w:pPr>
              <w:numPr>
                <w:ilvl w:val="0"/>
                <w:numId w:val="0"/>
              </w:numPr>
              <w:jc w:val="left"/>
              <w:rPr>
                <w:rFonts w:hint="eastAsia"/>
                <w:vertAlign w:val="baseline"/>
                <w:lang w:val="en-US" w:eastAsia="zh-CN"/>
              </w:rPr>
            </w:pPr>
            <w:r>
              <w:rPr>
                <w:rFonts w:hint="eastAsia"/>
                <w:vertAlign w:val="baseline"/>
                <w:lang w:val="en-US" w:eastAsia="zh-CN"/>
              </w:rPr>
              <w:t>份额交收</w:t>
            </w:r>
          </w:p>
        </w:tc>
        <w:tc>
          <w:tcPr>
            <w:tcW w:w="2740" w:type="pct"/>
            <w:vAlign w:val="center"/>
          </w:tcPr>
          <w:p>
            <w:pPr>
              <w:numPr>
                <w:ilvl w:val="0"/>
                <w:numId w:val="0"/>
              </w:numPr>
              <w:jc w:val="left"/>
              <w:rPr>
                <w:rFonts w:hint="default"/>
                <w:vertAlign w:val="baseline"/>
                <w:lang w:val="en-US" w:eastAsia="zh-CN"/>
              </w:rPr>
            </w:pPr>
            <w:r>
              <w:rPr>
                <w:rFonts w:hint="eastAsia"/>
                <w:vertAlign w:val="baseline"/>
                <w:lang w:val="en-US" w:eastAsia="zh-CN"/>
              </w:rPr>
              <w:t>份额交收成功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 w:type="pct"/>
            <w:vAlign w:val="center"/>
          </w:tcPr>
          <w:p>
            <w:pPr>
              <w:numPr>
                <w:ilvl w:val="0"/>
                <w:numId w:val="0"/>
              </w:numPr>
              <w:jc w:val="center"/>
              <w:rPr>
                <w:rFonts w:hint="default"/>
                <w:vertAlign w:val="baseline"/>
                <w:lang w:val="en-US" w:eastAsia="zh-CN"/>
              </w:rPr>
            </w:pPr>
            <w:r>
              <w:rPr>
                <w:rFonts w:hint="eastAsia"/>
                <w:vertAlign w:val="baseline"/>
                <w:lang w:val="en-US" w:eastAsia="zh-CN"/>
              </w:rPr>
              <w:t>8</w:t>
            </w:r>
          </w:p>
        </w:tc>
        <w:tc>
          <w:tcPr>
            <w:tcW w:w="1778" w:type="pct"/>
            <w:vAlign w:val="center"/>
          </w:tcPr>
          <w:p>
            <w:pPr>
              <w:numPr>
                <w:ilvl w:val="0"/>
                <w:numId w:val="0"/>
              </w:numPr>
              <w:jc w:val="left"/>
              <w:rPr>
                <w:rFonts w:hint="eastAsia"/>
                <w:vertAlign w:val="baseline"/>
                <w:lang w:val="en-US" w:eastAsia="zh-CN"/>
              </w:rPr>
            </w:pPr>
            <w:r>
              <w:rPr>
                <w:rFonts w:hint="eastAsia"/>
                <w:vertAlign w:val="baseline"/>
                <w:lang w:val="en-US" w:eastAsia="zh-CN"/>
              </w:rPr>
              <w:t>代销数据确认</w:t>
            </w:r>
          </w:p>
        </w:tc>
        <w:tc>
          <w:tcPr>
            <w:tcW w:w="2740" w:type="pct"/>
            <w:vAlign w:val="center"/>
          </w:tcPr>
          <w:p>
            <w:pPr>
              <w:numPr>
                <w:ilvl w:val="0"/>
                <w:numId w:val="0"/>
              </w:numPr>
              <w:jc w:val="left"/>
              <w:rPr>
                <w:rFonts w:hint="default"/>
                <w:vertAlign w:val="baseline"/>
                <w:lang w:val="en-US" w:eastAsia="zh-CN"/>
              </w:rPr>
            </w:pPr>
            <w:r>
              <w:rPr>
                <w:rFonts w:hint="eastAsia"/>
                <w:vertAlign w:val="baseline"/>
                <w:lang w:val="en-US" w:eastAsia="zh-CN"/>
              </w:rPr>
              <w:t>按照项目代码查询，点击确认不报错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 w:type="pct"/>
            <w:vAlign w:val="center"/>
          </w:tcPr>
          <w:p>
            <w:pPr>
              <w:numPr>
                <w:ilvl w:val="0"/>
                <w:numId w:val="0"/>
              </w:numPr>
              <w:jc w:val="center"/>
              <w:rPr>
                <w:rFonts w:hint="default"/>
                <w:vertAlign w:val="baseline"/>
                <w:lang w:val="en-US" w:eastAsia="zh-CN"/>
              </w:rPr>
            </w:pPr>
            <w:r>
              <w:rPr>
                <w:rFonts w:hint="eastAsia"/>
                <w:vertAlign w:val="baseline"/>
                <w:lang w:val="en-US" w:eastAsia="zh-CN"/>
              </w:rPr>
              <w:t>9</w:t>
            </w:r>
          </w:p>
        </w:tc>
        <w:tc>
          <w:tcPr>
            <w:tcW w:w="1778" w:type="pct"/>
            <w:vAlign w:val="center"/>
          </w:tcPr>
          <w:p>
            <w:pPr>
              <w:numPr>
                <w:ilvl w:val="0"/>
                <w:numId w:val="0"/>
              </w:numPr>
              <w:jc w:val="left"/>
              <w:rPr>
                <w:rFonts w:hint="eastAsia"/>
                <w:vertAlign w:val="baseline"/>
                <w:lang w:val="en-US" w:eastAsia="zh-CN"/>
              </w:rPr>
            </w:pPr>
            <w:r>
              <w:rPr>
                <w:rFonts w:hint="eastAsia"/>
                <w:vertAlign w:val="baseline"/>
                <w:lang w:val="en-US" w:eastAsia="zh-CN"/>
              </w:rPr>
              <w:t>代销数据导出</w:t>
            </w:r>
          </w:p>
        </w:tc>
        <w:tc>
          <w:tcPr>
            <w:tcW w:w="2740" w:type="pct"/>
            <w:vAlign w:val="center"/>
          </w:tcPr>
          <w:p>
            <w:pPr>
              <w:numPr>
                <w:ilvl w:val="0"/>
                <w:numId w:val="0"/>
              </w:numPr>
              <w:jc w:val="left"/>
              <w:rPr>
                <w:rFonts w:hint="default"/>
                <w:vertAlign w:val="baseline"/>
                <w:lang w:val="en-US" w:eastAsia="zh-CN"/>
              </w:rPr>
            </w:pPr>
            <w:r>
              <w:rPr>
                <w:rFonts w:hint="eastAsia"/>
                <w:sz w:val="22"/>
                <w:szCs w:val="22"/>
                <w:lang w:val="en-US" w:eastAsia="zh-CN"/>
              </w:rPr>
              <w:t>按照交易确认时间导出，最后与生产导出数据核对验证</w:t>
            </w:r>
          </w:p>
        </w:tc>
      </w:tr>
    </w:tbl>
    <w:p>
      <w:pPr>
        <w:numPr>
          <w:ilvl w:val="0"/>
          <w:numId w:val="0"/>
        </w:numPr>
        <w:ind w:leftChars="0" w:firstLine="420"/>
        <w:rPr>
          <w:rFonts w:hint="eastAsia"/>
          <w:sz w:val="22"/>
          <w:szCs w:val="22"/>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缺陷统计分析</w:t>
      </w:r>
    </w:p>
    <w:p>
      <w:pPr>
        <w:numPr>
          <w:ilvl w:val="0"/>
          <w:numId w:val="0"/>
        </w:numPr>
        <w:rPr>
          <w:rFonts w:hint="eastAsia"/>
          <w:lang w:val="en-US" w:eastAsia="zh-CN"/>
        </w:rPr>
      </w:pPr>
      <w:r>
        <w:rPr>
          <w:rFonts w:hint="eastAsia"/>
          <w:lang w:val="en-US" w:eastAsia="zh-CN"/>
        </w:rPr>
        <w:t xml:space="preserve">  测试未发现问题</w:t>
      </w:r>
    </w:p>
    <w:p>
      <w:pPr>
        <w:numPr>
          <w:ilvl w:val="0"/>
          <w:numId w:val="0"/>
        </w:numPr>
        <w:rPr>
          <w:rFonts w:hint="eastAsia"/>
          <w:lang w:val="en-US" w:eastAsia="zh-CN"/>
        </w:rPr>
      </w:pPr>
    </w:p>
    <w:p>
      <w:pPr>
        <w:pStyle w:val="4"/>
        <w:numPr>
          <w:ilvl w:val="1"/>
          <w:numId w:val="2"/>
        </w:numPr>
        <w:bidi w:val="0"/>
        <w:rPr>
          <w:rFonts w:hint="eastAsia"/>
          <w:lang w:val="en-US" w:eastAsia="zh-CN"/>
        </w:rPr>
      </w:pPr>
      <w:r>
        <w:rPr>
          <w:rFonts w:hint="eastAsia"/>
          <w:lang w:val="en-US" w:eastAsia="zh-CN"/>
        </w:rPr>
        <w:t>金证微服务信托TA系统接口</w:t>
      </w:r>
    </w:p>
    <w:p>
      <w:pPr>
        <w:pStyle w:val="5"/>
        <w:numPr>
          <w:ilvl w:val="2"/>
          <w:numId w:val="2"/>
        </w:numPr>
        <w:bidi w:val="0"/>
        <w:ind w:left="0" w:leftChars="0" w:firstLine="0" w:firstLineChars="0"/>
        <w:rPr>
          <w:rFonts w:hint="eastAsia"/>
          <w:lang w:val="en-US" w:eastAsia="zh-CN"/>
        </w:rPr>
      </w:pPr>
      <w:r>
        <w:rPr>
          <w:rFonts w:hint="eastAsia"/>
          <w:lang w:val="en-US" w:eastAsia="zh-CN"/>
        </w:rPr>
        <w:t>测试范围</w:t>
      </w:r>
    </w:p>
    <w:p>
      <w:pPr>
        <w:numPr>
          <w:ilvl w:val="0"/>
          <w:numId w:val="0"/>
        </w:numPr>
        <w:ind w:leftChars="0" w:firstLine="420"/>
        <w:rPr>
          <w:rFonts w:hint="eastAsia"/>
          <w:sz w:val="22"/>
          <w:szCs w:val="22"/>
          <w:lang w:val="en-US" w:eastAsia="zh-CN"/>
        </w:rPr>
      </w:pPr>
      <w:r>
        <w:rPr>
          <w:rFonts w:hint="eastAsia"/>
          <w:sz w:val="22"/>
          <w:szCs w:val="22"/>
          <w:lang w:val="en-US" w:eastAsia="zh-CN"/>
        </w:rPr>
        <w:t>本次测试的范围是金证微服务信托TA系统接口，大概包括账户开户，认购，追加申购，赎回，特殊赎回，开放日设置，资产转换，家族信托权益份额转让等接口；详细范围如下：</w:t>
      </w: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4"/>
        <w:gridCol w:w="5599"/>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序号</w:t>
            </w:r>
          </w:p>
        </w:tc>
        <w:tc>
          <w:tcPr>
            <w:tcW w:w="3285"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测试内容</w:t>
            </w:r>
          </w:p>
        </w:tc>
        <w:tc>
          <w:tcPr>
            <w:tcW w:w="1195"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3285" w:type="pct"/>
            <w:vAlign w:val="center"/>
          </w:tcPr>
          <w:p>
            <w:pPr>
              <w:numPr>
                <w:ilvl w:val="0"/>
                <w:numId w:val="0"/>
              </w:numPr>
              <w:jc w:val="left"/>
              <w:rPr>
                <w:rFonts w:hint="default"/>
                <w:vertAlign w:val="baseline"/>
                <w:lang w:val="en-US" w:eastAsia="zh-CN"/>
              </w:rPr>
            </w:pPr>
            <w:r>
              <w:rPr>
                <w:rFonts w:hint="eastAsia"/>
                <w:vertAlign w:val="baseline"/>
                <w:lang w:val="en-US" w:eastAsia="zh-CN"/>
              </w:rPr>
              <w:t>账户开户</w:t>
            </w:r>
          </w:p>
        </w:tc>
        <w:tc>
          <w:tcPr>
            <w:tcW w:w="1195" w:type="pct"/>
            <w:vAlign w:val="center"/>
          </w:tcPr>
          <w:p>
            <w:pPr>
              <w:numPr>
                <w:ilvl w:val="0"/>
                <w:numId w:val="0"/>
              </w:num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账户修改下单</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认申购</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追加申购</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5</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赎回</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6</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收益权利益返还账户变更</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7</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特殊赎回（费用代缴）</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8</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家族信托受益权本金转换/收益转换交易</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9</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TA系统接收由外部系统发起的家族信托受益人变更，包括受益人信息修改和大池子增加受益人</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10</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外部系统通过此方法向TA系统中推送家族信托受益权受益人之间权益份额调整</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11</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TA系统中推送开放日信息</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12</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资金录入与修改</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13</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外部系统通过此方法向TA系统中推送合同转换关系。（信惠项目，一般都是非净值型项目）</w:t>
            </w:r>
          </w:p>
        </w:tc>
        <w:tc>
          <w:tcPr>
            <w:tcW w:w="1195" w:type="pct"/>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pct"/>
            <w:vAlign w:val="center"/>
          </w:tcPr>
          <w:p>
            <w:pPr>
              <w:numPr>
                <w:ilvl w:val="0"/>
                <w:numId w:val="0"/>
              </w:numPr>
              <w:jc w:val="center"/>
              <w:rPr>
                <w:rFonts w:hint="default"/>
                <w:vertAlign w:val="baseline"/>
                <w:lang w:val="en-US" w:eastAsia="zh-CN"/>
              </w:rPr>
            </w:pPr>
            <w:r>
              <w:rPr>
                <w:rFonts w:hint="eastAsia"/>
                <w:vertAlign w:val="baseline"/>
                <w:lang w:val="en-US" w:eastAsia="zh-CN"/>
              </w:rPr>
              <w:t>14</w:t>
            </w:r>
          </w:p>
        </w:tc>
        <w:tc>
          <w:tcPr>
            <w:tcW w:w="3285" w:type="pct"/>
            <w:vAlign w:val="center"/>
          </w:tcPr>
          <w:p>
            <w:pPr>
              <w:numPr>
                <w:ilvl w:val="0"/>
                <w:numId w:val="0"/>
              </w:numPr>
              <w:jc w:val="left"/>
              <w:rPr>
                <w:rFonts w:hint="eastAsia"/>
                <w:vertAlign w:val="baseline"/>
                <w:lang w:val="en-US" w:eastAsia="zh-CN"/>
              </w:rPr>
            </w:pPr>
            <w:r>
              <w:rPr>
                <w:rFonts w:hint="eastAsia"/>
                <w:vertAlign w:val="baseline"/>
                <w:lang w:val="en-US" w:eastAsia="zh-CN"/>
              </w:rPr>
              <w:t>外部系统通过此方法向TA系统推送撤单交易（只允许中间表待处理状态撤单）</w:t>
            </w:r>
          </w:p>
        </w:tc>
        <w:tc>
          <w:tcPr>
            <w:tcW w:w="1195" w:type="pct"/>
            <w:vAlign w:val="center"/>
          </w:tcPr>
          <w:p>
            <w:pPr>
              <w:numPr>
                <w:ilvl w:val="0"/>
                <w:numId w:val="0"/>
              </w:numPr>
              <w:jc w:val="left"/>
              <w:rPr>
                <w:rFonts w:hint="eastAsia"/>
                <w:vertAlign w:val="baseline"/>
                <w:lang w:val="en-US" w:eastAsia="zh-CN"/>
              </w:rPr>
            </w:pPr>
          </w:p>
        </w:tc>
      </w:tr>
    </w:tbl>
    <w:p>
      <w:pPr>
        <w:numPr>
          <w:ilvl w:val="0"/>
          <w:numId w:val="0"/>
        </w:numPr>
        <w:rPr>
          <w:rFonts w:hint="default"/>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测试方法</w:t>
      </w:r>
    </w:p>
    <w:p>
      <w:pPr>
        <w:numPr>
          <w:ilvl w:val="0"/>
          <w:numId w:val="0"/>
        </w:numPr>
        <w:ind w:leftChars="0" w:firstLine="420"/>
        <w:rPr>
          <w:rFonts w:hint="eastAsia"/>
          <w:sz w:val="22"/>
          <w:szCs w:val="22"/>
          <w:lang w:val="en-US" w:eastAsia="zh-CN"/>
        </w:rPr>
      </w:pPr>
      <w:r>
        <w:rPr>
          <w:rFonts w:hint="eastAsia"/>
          <w:sz w:val="22"/>
          <w:szCs w:val="22"/>
          <w:lang w:val="en-US" w:eastAsia="zh-CN"/>
        </w:rPr>
        <w:t>WMS接口测试运用jmeter工具，测接口前期准备文件：接口文档，报文，接口测试案例，然后按照业务流程造数据，编写接口脚本，发送请求，接口成功后去TA去做数据处理，在家族信托查询里边查看是否存在相关交易，断言结果；详细情况如下表：</w:t>
      </w: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7"/>
        <w:gridCol w:w="2489"/>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序号</w:t>
            </w:r>
          </w:p>
        </w:tc>
        <w:tc>
          <w:tcPr>
            <w:tcW w:w="1460"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测试内容</w:t>
            </w:r>
          </w:p>
        </w:tc>
        <w:tc>
          <w:tcPr>
            <w:tcW w:w="3094" w:type="pct"/>
            <w:vAlign w:val="center"/>
          </w:tcPr>
          <w:p>
            <w:pPr>
              <w:numPr>
                <w:ilvl w:val="0"/>
                <w:numId w:val="0"/>
              </w:numPr>
              <w:jc w:val="center"/>
              <w:rPr>
                <w:rFonts w:hint="default"/>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1460" w:type="pct"/>
            <w:vAlign w:val="center"/>
          </w:tcPr>
          <w:p>
            <w:pPr>
              <w:numPr>
                <w:ilvl w:val="0"/>
                <w:numId w:val="0"/>
              </w:numPr>
              <w:jc w:val="left"/>
              <w:rPr>
                <w:rFonts w:hint="default"/>
                <w:vertAlign w:val="baseline"/>
                <w:lang w:val="en-US" w:eastAsia="zh-CN"/>
              </w:rPr>
            </w:pPr>
            <w:r>
              <w:rPr>
                <w:rFonts w:hint="eastAsia"/>
                <w:vertAlign w:val="baseline"/>
                <w:lang w:val="en-US" w:eastAsia="zh-CN"/>
              </w:rPr>
              <w:t>账户开户</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default"/>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账户修改下单</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认申购</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追加申购</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5</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赎回</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6</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收益权利益返还账户变更</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7</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特殊赎回（费用代缴）</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8</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家族信托受益权本金转换/收益转换交易</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9</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TA系统接收由外部系统发起的家族信托受益人变更，包括受益人信息修改和大池子增加受益人</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10</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外部系统通过此方法向TA系统中推送家族信托受益权受益人之间权益份额调整</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11</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TA系统中推送开放日信息</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12</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资金录入与修改</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13</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外部系统通过此方法向TA系统中推送合同转换关系。（信惠项目，一般都是非净值型项目）</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pct"/>
            <w:vAlign w:val="center"/>
          </w:tcPr>
          <w:p>
            <w:pPr>
              <w:numPr>
                <w:ilvl w:val="0"/>
                <w:numId w:val="0"/>
              </w:numPr>
              <w:jc w:val="center"/>
              <w:rPr>
                <w:rFonts w:hint="default"/>
                <w:vertAlign w:val="baseline"/>
                <w:lang w:val="en-US" w:eastAsia="zh-CN"/>
              </w:rPr>
            </w:pPr>
            <w:r>
              <w:rPr>
                <w:rFonts w:hint="eastAsia"/>
                <w:vertAlign w:val="baseline"/>
                <w:lang w:val="en-US" w:eastAsia="zh-CN"/>
              </w:rPr>
              <w:t>14</w:t>
            </w:r>
          </w:p>
        </w:tc>
        <w:tc>
          <w:tcPr>
            <w:tcW w:w="1460" w:type="pct"/>
            <w:vAlign w:val="center"/>
          </w:tcPr>
          <w:p>
            <w:pPr>
              <w:numPr>
                <w:ilvl w:val="0"/>
                <w:numId w:val="0"/>
              </w:numPr>
              <w:jc w:val="left"/>
              <w:rPr>
                <w:rFonts w:hint="eastAsia"/>
                <w:vertAlign w:val="baseline"/>
                <w:lang w:val="en-US" w:eastAsia="zh-CN"/>
              </w:rPr>
            </w:pPr>
            <w:r>
              <w:rPr>
                <w:rFonts w:hint="eastAsia"/>
                <w:vertAlign w:val="baseline"/>
                <w:lang w:val="en-US" w:eastAsia="zh-CN"/>
              </w:rPr>
              <w:t>外部系统通过此方法向TA系统推送撤单交易（只允许中间表待处理状态撤单）</w:t>
            </w:r>
          </w:p>
        </w:tc>
        <w:tc>
          <w:tcPr>
            <w:tcW w:w="3094" w:type="pct"/>
            <w:vAlign w:val="center"/>
          </w:tcPr>
          <w:p>
            <w:pPr>
              <w:numPr>
                <w:ilvl w:val="0"/>
                <w:numId w:val="0"/>
              </w:numPr>
              <w:jc w:val="left"/>
              <w:rPr>
                <w:rFonts w:hint="eastAsia"/>
                <w:vertAlign w:val="baseline"/>
                <w:lang w:val="en-US" w:eastAsia="zh-CN"/>
              </w:rPr>
            </w:pPr>
            <w:r>
              <w:rPr>
                <w:rFonts w:hint="eastAsia"/>
                <w:vertAlign w:val="baseline"/>
                <w:lang w:val="en-US" w:eastAsia="zh-CN"/>
              </w:rPr>
              <w:t>1、code=0</w:t>
            </w:r>
          </w:p>
          <w:p>
            <w:pPr>
              <w:numPr>
                <w:ilvl w:val="0"/>
                <w:numId w:val="0"/>
              </w:numPr>
              <w:jc w:val="left"/>
              <w:rPr>
                <w:rFonts w:hint="default"/>
                <w:vertAlign w:val="baseline"/>
                <w:lang w:val="en-US" w:eastAsia="zh-CN"/>
              </w:rPr>
            </w:pPr>
            <w:r>
              <w:rPr>
                <w:rFonts w:hint="eastAsia"/>
                <w:vertAlign w:val="baseline"/>
                <w:lang w:val="en-US" w:eastAsia="zh-CN"/>
              </w:rPr>
              <w:t>2、数据处理里边可以查询到相关交易，数据处理，数据校验没问题</w:t>
            </w:r>
          </w:p>
          <w:p>
            <w:pPr>
              <w:numPr>
                <w:ilvl w:val="0"/>
                <w:numId w:val="0"/>
              </w:numPr>
              <w:jc w:val="left"/>
              <w:rPr>
                <w:rFonts w:hint="eastAsia"/>
                <w:vertAlign w:val="baseline"/>
                <w:lang w:val="en-US" w:eastAsia="zh-CN"/>
              </w:rPr>
            </w:pPr>
            <w:r>
              <w:rPr>
                <w:rFonts w:hint="eastAsia"/>
                <w:vertAlign w:val="baseline"/>
                <w:lang w:val="en-US" w:eastAsia="zh-CN"/>
              </w:rPr>
              <w:t>3、TA系统中，家族信托查询里边可以查询到相关交易</w:t>
            </w:r>
          </w:p>
        </w:tc>
      </w:tr>
    </w:tbl>
    <w:p>
      <w:pPr>
        <w:numPr>
          <w:ilvl w:val="0"/>
          <w:numId w:val="0"/>
        </w:numPr>
        <w:ind w:leftChars="0" w:firstLine="420"/>
        <w:rPr>
          <w:rFonts w:hint="eastAsia"/>
          <w:sz w:val="22"/>
          <w:szCs w:val="22"/>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缺陷统计分析</w:t>
      </w:r>
    </w:p>
    <w:p>
      <w:pPr>
        <w:numPr>
          <w:ilvl w:val="0"/>
          <w:numId w:val="0"/>
        </w:numPr>
        <w:rPr>
          <w:rFonts w:hint="eastAsia"/>
          <w:lang w:val="en-US" w:eastAsia="zh-CN"/>
        </w:rPr>
      </w:pPr>
      <w:r>
        <w:rPr>
          <w:rFonts w:hint="eastAsia"/>
          <w:lang w:val="en-US" w:eastAsia="zh-CN"/>
        </w:rPr>
        <w:t xml:space="preserve">  测试未发现问题</w:t>
      </w:r>
    </w:p>
    <w:p>
      <w:pPr>
        <w:numPr>
          <w:ilvl w:val="0"/>
          <w:numId w:val="0"/>
        </w:numPr>
        <w:rPr>
          <w:rFonts w:hint="eastAsia"/>
          <w:lang w:val="en-US" w:eastAsia="zh-CN"/>
        </w:rPr>
      </w:pPr>
    </w:p>
    <w:p>
      <w:pPr>
        <w:numPr>
          <w:ilvl w:val="0"/>
          <w:numId w:val="0"/>
        </w:numPr>
        <w:ind w:leftChars="0"/>
        <w:rPr>
          <w:rFonts w:hint="default" w:ascii="Arial" w:hAnsi="Arial" w:eastAsia="宋体" w:cs="Arial"/>
          <w:i w:val="0"/>
          <w:caps w:val="0"/>
          <w:color w:val="000000"/>
          <w:spacing w:val="0"/>
          <w:sz w:val="21"/>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1132"/>
    <w:multiLevelType w:val="multilevel"/>
    <w:tmpl w:val="805D113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84497A7"/>
    <w:multiLevelType w:val="singleLevel"/>
    <w:tmpl w:val="B84497A7"/>
    <w:lvl w:ilvl="0" w:tentative="0">
      <w:start w:val="1"/>
      <w:numFmt w:val="decimal"/>
      <w:suff w:val="nothing"/>
      <w:lvlText w:val="%1、"/>
      <w:lvlJc w:val="left"/>
    </w:lvl>
  </w:abstractNum>
  <w:abstractNum w:abstractNumId="2">
    <w:nsid w:val="BF895FBD"/>
    <w:multiLevelType w:val="singleLevel"/>
    <w:tmpl w:val="BF895FBD"/>
    <w:lvl w:ilvl="0" w:tentative="0">
      <w:start w:val="1"/>
      <w:numFmt w:val="decimal"/>
      <w:suff w:val="nothing"/>
      <w:lvlText w:val="%1、"/>
      <w:lvlJc w:val="left"/>
    </w:lvl>
  </w:abstractNum>
  <w:abstractNum w:abstractNumId="3">
    <w:nsid w:val="2145678E"/>
    <w:multiLevelType w:val="singleLevel"/>
    <w:tmpl w:val="2145678E"/>
    <w:lvl w:ilvl="0" w:tentative="0">
      <w:start w:val="1"/>
      <w:numFmt w:val="decimal"/>
      <w:suff w:val="nothing"/>
      <w:lvlText w:val="%1、"/>
      <w:lvlJc w:val="left"/>
    </w:lvl>
  </w:abstractNum>
  <w:abstractNum w:abstractNumId="4">
    <w:nsid w:val="44A955ED"/>
    <w:multiLevelType w:val="singleLevel"/>
    <w:tmpl w:val="44A955ED"/>
    <w:lvl w:ilvl="0" w:tentative="0">
      <w:start w:val="1"/>
      <w:numFmt w:val="decimal"/>
      <w:suff w:val="nothing"/>
      <w:lvlText w:val="%1、"/>
      <w:lvlJc w:val="left"/>
    </w:lvl>
  </w:abstractNum>
  <w:abstractNum w:abstractNumId="5">
    <w:nsid w:val="5C7F236B"/>
    <w:multiLevelType w:val="singleLevel"/>
    <w:tmpl w:val="5C7F236B"/>
    <w:lvl w:ilvl="0" w:tentative="0">
      <w:start w:val="1"/>
      <w:numFmt w:val="decimal"/>
      <w:suff w:val="nothing"/>
      <w:lvlText w:val="%1、"/>
      <w:lvlJc w:val="left"/>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80ABC"/>
    <w:rsid w:val="023B533A"/>
    <w:rsid w:val="0245180F"/>
    <w:rsid w:val="0337674A"/>
    <w:rsid w:val="035C284F"/>
    <w:rsid w:val="046411CF"/>
    <w:rsid w:val="05242656"/>
    <w:rsid w:val="05E77474"/>
    <w:rsid w:val="0691540E"/>
    <w:rsid w:val="069B63CA"/>
    <w:rsid w:val="06CE5772"/>
    <w:rsid w:val="07BE3A24"/>
    <w:rsid w:val="07CF7C26"/>
    <w:rsid w:val="08316390"/>
    <w:rsid w:val="08917C57"/>
    <w:rsid w:val="09D63F5B"/>
    <w:rsid w:val="09FC212C"/>
    <w:rsid w:val="0A8F73C8"/>
    <w:rsid w:val="0B727E5D"/>
    <w:rsid w:val="0C1157BE"/>
    <w:rsid w:val="0D9B233E"/>
    <w:rsid w:val="0EC0478C"/>
    <w:rsid w:val="0F87106D"/>
    <w:rsid w:val="0FA00F27"/>
    <w:rsid w:val="122A102A"/>
    <w:rsid w:val="144B5AA9"/>
    <w:rsid w:val="159106B5"/>
    <w:rsid w:val="1A685E26"/>
    <w:rsid w:val="1B033FA9"/>
    <w:rsid w:val="1B6C2BC1"/>
    <w:rsid w:val="1BA347A5"/>
    <w:rsid w:val="1D8307FF"/>
    <w:rsid w:val="1E6508CD"/>
    <w:rsid w:val="1EDF7EAA"/>
    <w:rsid w:val="1F4D1BDF"/>
    <w:rsid w:val="1F635954"/>
    <w:rsid w:val="1F763D72"/>
    <w:rsid w:val="208D5ABC"/>
    <w:rsid w:val="216C4811"/>
    <w:rsid w:val="21D47B78"/>
    <w:rsid w:val="240F2899"/>
    <w:rsid w:val="24D817B8"/>
    <w:rsid w:val="24F36815"/>
    <w:rsid w:val="253F3169"/>
    <w:rsid w:val="25406B89"/>
    <w:rsid w:val="26A9185A"/>
    <w:rsid w:val="283C6EFA"/>
    <w:rsid w:val="28D57EE7"/>
    <w:rsid w:val="28F644F2"/>
    <w:rsid w:val="29FC19AE"/>
    <w:rsid w:val="2BB57A85"/>
    <w:rsid w:val="2CD92EF8"/>
    <w:rsid w:val="2DFA263C"/>
    <w:rsid w:val="2E186E0C"/>
    <w:rsid w:val="2ED9529D"/>
    <w:rsid w:val="2F297C17"/>
    <w:rsid w:val="30C52A2E"/>
    <w:rsid w:val="319C7682"/>
    <w:rsid w:val="31C14AE2"/>
    <w:rsid w:val="31D91DBE"/>
    <w:rsid w:val="322C12EB"/>
    <w:rsid w:val="32F86E4A"/>
    <w:rsid w:val="34364804"/>
    <w:rsid w:val="34877382"/>
    <w:rsid w:val="372A2CE7"/>
    <w:rsid w:val="373414F3"/>
    <w:rsid w:val="37AB5C81"/>
    <w:rsid w:val="39335B36"/>
    <w:rsid w:val="39CD0F6A"/>
    <w:rsid w:val="39EF4CE7"/>
    <w:rsid w:val="3AA15841"/>
    <w:rsid w:val="3AF96FC9"/>
    <w:rsid w:val="3B613517"/>
    <w:rsid w:val="3C0B48B3"/>
    <w:rsid w:val="3C333B50"/>
    <w:rsid w:val="3C7123F0"/>
    <w:rsid w:val="3CC106F6"/>
    <w:rsid w:val="3CED1DA2"/>
    <w:rsid w:val="3D0D2202"/>
    <w:rsid w:val="3D1F21B5"/>
    <w:rsid w:val="3F1F34A2"/>
    <w:rsid w:val="3F284A46"/>
    <w:rsid w:val="3FDD24EF"/>
    <w:rsid w:val="40034019"/>
    <w:rsid w:val="405939A9"/>
    <w:rsid w:val="4195452B"/>
    <w:rsid w:val="43393283"/>
    <w:rsid w:val="44412A3C"/>
    <w:rsid w:val="45726086"/>
    <w:rsid w:val="467E6141"/>
    <w:rsid w:val="47905EEB"/>
    <w:rsid w:val="47E526BD"/>
    <w:rsid w:val="4965546A"/>
    <w:rsid w:val="4B0B0F5D"/>
    <w:rsid w:val="4B194CA5"/>
    <w:rsid w:val="4CBA30B5"/>
    <w:rsid w:val="4D634AA1"/>
    <w:rsid w:val="4D8A23CC"/>
    <w:rsid w:val="4E362E38"/>
    <w:rsid w:val="4F1F302A"/>
    <w:rsid w:val="50F201BE"/>
    <w:rsid w:val="50F936C9"/>
    <w:rsid w:val="515908CC"/>
    <w:rsid w:val="51924E6A"/>
    <w:rsid w:val="52202057"/>
    <w:rsid w:val="53280F6D"/>
    <w:rsid w:val="536E54E0"/>
    <w:rsid w:val="546433EC"/>
    <w:rsid w:val="555379DB"/>
    <w:rsid w:val="56C76976"/>
    <w:rsid w:val="570B0537"/>
    <w:rsid w:val="575C2834"/>
    <w:rsid w:val="577476AD"/>
    <w:rsid w:val="58351151"/>
    <w:rsid w:val="596D52DC"/>
    <w:rsid w:val="59E77A89"/>
    <w:rsid w:val="5B706AC7"/>
    <w:rsid w:val="5CE8332B"/>
    <w:rsid w:val="5F84311A"/>
    <w:rsid w:val="5FDF2B43"/>
    <w:rsid w:val="60994F7C"/>
    <w:rsid w:val="60B50FC0"/>
    <w:rsid w:val="614F10E5"/>
    <w:rsid w:val="61DE34FA"/>
    <w:rsid w:val="6228179D"/>
    <w:rsid w:val="622D5D0E"/>
    <w:rsid w:val="62951E2E"/>
    <w:rsid w:val="63272A51"/>
    <w:rsid w:val="63946B63"/>
    <w:rsid w:val="646E08CA"/>
    <w:rsid w:val="64B82970"/>
    <w:rsid w:val="64FA37A2"/>
    <w:rsid w:val="657F77A3"/>
    <w:rsid w:val="668A6A7E"/>
    <w:rsid w:val="67164CDA"/>
    <w:rsid w:val="67315256"/>
    <w:rsid w:val="6A385A9F"/>
    <w:rsid w:val="6A5C748C"/>
    <w:rsid w:val="6B245E44"/>
    <w:rsid w:val="6BCD2554"/>
    <w:rsid w:val="6C7C5408"/>
    <w:rsid w:val="6CFA0C60"/>
    <w:rsid w:val="6D2A7B94"/>
    <w:rsid w:val="6DC12783"/>
    <w:rsid w:val="6E867228"/>
    <w:rsid w:val="70867932"/>
    <w:rsid w:val="709061E8"/>
    <w:rsid w:val="70945AE5"/>
    <w:rsid w:val="70D5733F"/>
    <w:rsid w:val="71C378B9"/>
    <w:rsid w:val="72521158"/>
    <w:rsid w:val="72C852E7"/>
    <w:rsid w:val="72E6005F"/>
    <w:rsid w:val="74D413DB"/>
    <w:rsid w:val="75730FFD"/>
    <w:rsid w:val="757673A6"/>
    <w:rsid w:val="76713238"/>
    <w:rsid w:val="769E3C24"/>
    <w:rsid w:val="76D13DFA"/>
    <w:rsid w:val="77C27C13"/>
    <w:rsid w:val="77DF1337"/>
    <w:rsid w:val="78EF320C"/>
    <w:rsid w:val="796B1190"/>
    <w:rsid w:val="7A9E79DF"/>
    <w:rsid w:val="7B250F91"/>
    <w:rsid w:val="7B8F05CE"/>
    <w:rsid w:val="7BAB27D3"/>
    <w:rsid w:val="7C7F0FAD"/>
    <w:rsid w:val="7CE96A26"/>
    <w:rsid w:val="7D966486"/>
    <w:rsid w:val="7DA63833"/>
    <w:rsid w:val="7E9D5873"/>
    <w:rsid w:val="7EC46C36"/>
    <w:rsid w:val="7ED75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2021-03-22T07:56:00Z</dcterms:created>
  <dc:creator>liyu</dc:creator>
  <cp:lastModifiedBy>弎零肆捌</cp:lastModifiedBy>
  <dcterms:modified xsi:type="dcterms:W3CDTF">2021-11-30T07:11:12Z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D05832FE8A4242489CCD044B953DB6EA</vt:lpwstr>
  </property>
</Properties>
</file>