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8A4D4" w14:textId="65E74A5B" w:rsidR="00094DBD" w:rsidRDefault="000916B0" w:rsidP="000916B0">
      <w:pPr>
        <w:pStyle w:val="Title"/>
      </w:pPr>
      <w:proofErr w:type="spellStart"/>
      <w:r>
        <w:t>Profico</w:t>
      </w:r>
      <w:proofErr w:type="spellEnd"/>
      <w:r>
        <w:t>-HQ</w:t>
      </w:r>
    </w:p>
    <w:p w14:paraId="6225AD87" w14:textId="4E1DB3E1" w:rsidR="000916B0" w:rsidRDefault="000916B0" w:rsidP="000916B0">
      <w:pPr>
        <w:pStyle w:val="Subtitle"/>
      </w:pPr>
      <w:r>
        <w:t>Relatório Anual 2023</w:t>
      </w:r>
    </w:p>
    <w:p w14:paraId="1AF85F83" w14:textId="5D4C5D6A" w:rsidR="000916B0" w:rsidRDefault="000916B0" w:rsidP="000916B0">
      <w:pPr>
        <w:pStyle w:val="Heading1"/>
      </w:pPr>
      <w:r>
        <w:t>1. Introdução</w:t>
      </w:r>
    </w:p>
    <w:p w14:paraId="3ECB2517" w14:textId="77777777" w:rsidR="000916B0" w:rsidRDefault="000916B0"/>
    <w:p w14:paraId="08DFFFD1" w14:textId="1FDEA651" w:rsidR="000916B0" w:rsidRDefault="000916B0" w:rsidP="000916B0">
      <w:pPr>
        <w:pStyle w:val="Heading1"/>
      </w:pPr>
      <w:r>
        <w:t>2</w:t>
      </w:r>
      <w:r>
        <w:t xml:space="preserve">. </w:t>
      </w:r>
      <w:r w:rsidR="00F04B82">
        <w:t>Análise consolidada</w:t>
      </w:r>
    </w:p>
    <w:p w14:paraId="68896D45" w14:textId="1D85C86F" w:rsidR="00CA7470" w:rsidRPr="00CA7470" w:rsidRDefault="00D943B1" w:rsidP="00CA7470">
      <w:r>
        <w:t>A análise consolidada consiste em agrupar os dados a partir de diferentes perspectivas, ignorando o ano de realização da campanha.</w:t>
      </w:r>
    </w:p>
    <w:p w14:paraId="564D4A5D" w14:textId="71CB3255" w:rsidR="00CA7470" w:rsidRPr="00CA7470" w:rsidRDefault="00CA7470" w:rsidP="00CA7470">
      <w:pPr>
        <w:pStyle w:val="Heading2"/>
      </w:pPr>
      <w:r>
        <w:t xml:space="preserve">2.1. </w:t>
      </w:r>
      <w:r w:rsidR="00C133B2">
        <w:t>Visão geral</w:t>
      </w:r>
    </w:p>
    <w:p w14:paraId="769A2D1B" w14:textId="6CAFC5A1" w:rsidR="00F04B82" w:rsidRDefault="00F04B82" w:rsidP="0049254A">
      <w:r>
        <w:t xml:space="preserve">As campanhas de financiamento coletivo classificadas como quadrinhos nas plataformas analisadas </w:t>
      </w:r>
      <w:r w:rsidR="0049254A">
        <w:t>normalmente se articulam</w:t>
      </w:r>
      <w:r>
        <w:t xml:space="preserve"> para </w:t>
      </w:r>
      <w:r w:rsidR="0049254A">
        <w:t xml:space="preserve">captar recursos para viabilizar a impressão </w:t>
      </w:r>
      <w:r>
        <w:t xml:space="preserve">de edições físicas (álbuns). </w:t>
      </w:r>
      <w:r w:rsidR="0049254A">
        <w:t>Este ecossistema, contudo, se diversifica em outras formas de produção de conteúdo. Uma delas, ainda relacionada</w:t>
      </w:r>
      <w:r w:rsidR="00BE7BD8">
        <w:t xml:space="preserve"> à produção de </w:t>
      </w:r>
      <w:r w:rsidR="0049254A">
        <w:t xml:space="preserve">pessoas </w:t>
      </w:r>
      <w:proofErr w:type="spellStart"/>
      <w:r w:rsidR="0049254A">
        <w:t>quadrinhistas</w:t>
      </w:r>
      <w:proofErr w:type="spellEnd"/>
      <w:r w:rsidR="0049254A">
        <w:t xml:space="preserve">, está relacionada à publicação recorrente de </w:t>
      </w:r>
      <w:proofErr w:type="spellStart"/>
      <w:r w:rsidR="0049254A">
        <w:t>webquadrinhos</w:t>
      </w:r>
      <w:proofErr w:type="spellEnd"/>
      <w:r w:rsidR="0049254A">
        <w:rPr>
          <w:rStyle w:val="FootnoteReference"/>
        </w:rPr>
        <w:t xml:space="preserve"> </w:t>
      </w:r>
      <w:r w:rsidR="0049254A">
        <w:rPr>
          <w:rStyle w:val="FootnoteReference"/>
        </w:rPr>
        <w:footnoteReference w:id="1"/>
      </w:r>
      <w:r w:rsidR="0049254A">
        <w:t xml:space="preserve">, normalmente distribuídas em redes sociais ou newsletters. </w:t>
      </w:r>
      <w:r w:rsidR="00BE7BD8">
        <w:t xml:space="preserve">Em menor quantidade, mas ainda </w:t>
      </w:r>
      <w:r w:rsidR="001E6EF8">
        <w:t xml:space="preserve">em número </w:t>
      </w:r>
      <w:r w:rsidR="00BE7BD8">
        <w:t xml:space="preserve">relevante, também </w:t>
      </w:r>
      <w:r w:rsidR="001E6EF8">
        <w:t xml:space="preserve">se verifica </w:t>
      </w:r>
      <w:r w:rsidR="00BE7BD8">
        <w:t xml:space="preserve">a existência de campanhas para financiar canais de </w:t>
      </w:r>
      <w:proofErr w:type="spellStart"/>
      <w:r w:rsidR="00BE7BD8">
        <w:t>youtube</w:t>
      </w:r>
      <w:proofErr w:type="spellEnd"/>
      <w:r w:rsidR="00BE7BD8">
        <w:t>,</w:t>
      </w:r>
      <w:r w:rsidR="008D7295">
        <w:t xml:space="preserve"> blogs ou sites </w:t>
      </w:r>
      <w:r w:rsidR="001E6EF8">
        <w:t xml:space="preserve">voltados para </w:t>
      </w:r>
      <w:r w:rsidR="008D7295">
        <w:t xml:space="preserve">a divulgação de obras e da cultura </w:t>
      </w:r>
      <w:r w:rsidR="001E6EF8">
        <w:t xml:space="preserve">– às vezes especializados em quadrinhos, às vezes genericamente denominados </w:t>
      </w:r>
      <w:r w:rsidR="001E6EF8" w:rsidRPr="001E6EF8">
        <w:rPr>
          <w:i/>
          <w:iCs/>
        </w:rPr>
        <w:t>geek</w:t>
      </w:r>
      <w:r w:rsidR="001E6EF8">
        <w:t>, abordando outras mídias, tal como livro e cinema.</w:t>
      </w:r>
    </w:p>
    <w:p w14:paraId="34E28159" w14:textId="77777777" w:rsidR="00A70B5E" w:rsidRDefault="00992123" w:rsidP="000916B0">
      <w:r>
        <w:t>O infográfico da figura a seguir dá uma ideia do ecossistema de histórias em quadrinhos (HQ) que se alavancaram a partir de campanhas de financiamento coletivo em plataformas como Catarse e Apoia.se</w:t>
      </w:r>
      <w:r w:rsidR="00651F3E">
        <w:t>.</w:t>
      </w:r>
    </w:p>
    <w:p w14:paraId="555DBC0F" w14:textId="77777777" w:rsidR="00A70B5E" w:rsidRDefault="00A70B5E" w:rsidP="000916B0"/>
    <w:p w14:paraId="3F8AD7C4" w14:textId="708910FD" w:rsidR="000916B0" w:rsidRPr="00651F3E" w:rsidRDefault="00651F3E" w:rsidP="000916B0">
      <w:r>
        <w:t>Em 13 anos, as pessoas idealizadoras arrecadaram cerca de R$ 42 milhões em campanhas pontuais, bem como R$ 43 mil/mês nas campanhas recorrentes.</w:t>
      </w:r>
    </w:p>
    <w:p w14:paraId="6DE53055" w14:textId="1E432110" w:rsidR="00991142" w:rsidRDefault="00095E63" w:rsidP="000916B0">
      <w:r>
        <w:rPr>
          <w:noProof/>
        </w:rPr>
        <w:lastRenderedPageBreak/>
        <w:drawing>
          <wp:inline distT="0" distB="0" distL="0" distR="0" wp14:anchorId="74854319" wp14:editId="6A4F2072">
            <wp:extent cx="5398109" cy="2961949"/>
            <wp:effectExtent l="0" t="0" r="0" b="0"/>
            <wp:docPr id="758280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80191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09" cy="29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23AD" w14:textId="4C9EFC8E" w:rsidR="004F2F7E" w:rsidRPr="00CA7470" w:rsidRDefault="004F2F7E" w:rsidP="004F2F7E">
      <w:pPr>
        <w:pStyle w:val="Heading2"/>
      </w:pPr>
      <w:r>
        <w:t>2.</w:t>
      </w:r>
      <w:r>
        <w:t>2</w:t>
      </w:r>
      <w:r>
        <w:t xml:space="preserve">. </w:t>
      </w:r>
      <w:r>
        <w:t>Visão por plataforma</w:t>
      </w:r>
    </w:p>
    <w:p w14:paraId="11FFDA35" w14:textId="517FA6ED" w:rsidR="00991142" w:rsidRDefault="00194505" w:rsidP="004F2F7E">
      <w:r>
        <w:t>A plataforma Catarse tem predominância de campanhas pontuais.</w:t>
      </w:r>
    </w:p>
    <w:p w14:paraId="2F98A0CE" w14:textId="77777777" w:rsidR="00194505" w:rsidRDefault="00194505" w:rsidP="00194505">
      <w:r>
        <w:rPr>
          <w:noProof/>
        </w:rPr>
        <w:drawing>
          <wp:inline distT="0" distB="0" distL="0" distR="0" wp14:anchorId="0503CAF1" wp14:editId="3F291D5C">
            <wp:extent cx="5398108" cy="2961949"/>
            <wp:effectExtent l="0" t="0" r="0" b="0"/>
            <wp:docPr id="1917519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1982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08" cy="29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55B6" w14:textId="1DE8BDF6" w:rsidR="00194505" w:rsidRDefault="00194505" w:rsidP="00194505">
      <w:r>
        <w:t>Por outro lado, a</w:t>
      </w:r>
      <w:r>
        <w:t xml:space="preserve"> plataforma </w:t>
      </w:r>
      <w:r>
        <w:t xml:space="preserve">Apoia.se </w:t>
      </w:r>
      <w:r>
        <w:t xml:space="preserve">tem predominância de campanhas </w:t>
      </w:r>
      <w:r>
        <w:t>recorrentes</w:t>
      </w:r>
      <w:r>
        <w:t>.</w:t>
      </w:r>
    </w:p>
    <w:p w14:paraId="1179E84F" w14:textId="77777777" w:rsidR="00194505" w:rsidRDefault="00194505" w:rsidP="00194505">
      <w:r>
        <w:rPr>
          <w:noProof/>
        </w:rPr>
        <w:lastRenderedPageBreak/>
        <w:drawing>
          <wp:inline distT="0" distB="0" distL="0" distR="0" wp14:anchorId="68A11835" wp14:editId="206CCADE">
            <wp:extent cx="5398108" cy="2961948"/>
            <wp:effectExtent l="0" t="0" r="0" b="0"/>
            <wp:docPr id="6933918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9185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08" cy="29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A0E4" w14:textId="0CD1D33A" w:rsidR="00194505" w:rsidRDefault="00194505" w:rsidP="004F2F7E"/>
    <w:p w14:paraId="004E57F1" w14:textId="1F458971" w:rsidR="000916B0" w:rsidRDefault="000916B0" w:rsidP="000916B0">
      <w:pPr>
        <w:pStyle w:val="Heading1"/>
      </w:pPr>
      <w:r>
        <w:t>3</w:t>
      </w:r>
      <w:r>
        <w:t xml:space="preserve">. </w:t>
      </w:r>
      <w:r w:rsidR="00F04B82">
        <w:t>Análise temporal</w:t>
      </w:r>
    </w:p>
    <w:p w14:paraId="3B73B58A" w14:textId="5A939985" w:rsidR="00F04B82" w:rsidRPr="00CA7470" w:rsidRDefault="00F04B82" w:rsidP="00F04B82">
      <w:r>
        <w:t xml:space="preserve">A análise </w:t>
      </w:r>
      <w:r>
        <w:t xml:space="preserve">temporal </w:t>
      </w:r>
      <w:r>
        <w:t>consiste em agrupar os dados a partir de diferentes perspectivas, ignorando o ano de realização da campanha.</w:t>
      </w:r>
    </w:p>
    <w:p w14:paraId="589071DF" w14:textId="77777777" w:rsidR="000916B0" w:rsidRDefault="000916B0" w:rsidP="000916B0"/>
    <w:p w14:paraId="0979B41D" w14:textId="77777777" w:rsidR="000916B0" w:rsidRPr="000916B0" w:rsidRDefault="000916B0" w:rsidP="000916B0"/>
    <w:p w14:paraId="1465B6A4" w14:textId="77777777" w:rsidR="000916B0" w:rsidRDefault="000916B0" w:rsidP="000916B0"/>
    <w:p w14:paraId="3F53F11E" w14:textId="6C86C27C" w:rsidR="000916B0" w:rsidRDefault="000916B0" w:rsidP="000916B0"/>
    <w:sectPr w:rsidR="000916B0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32BCB" w14:textId="77777777" w:rsidR="00873EC4" w:rsidRDefault="00873EC4" w:rsidP="0049254A">
      <w:pPr>
        <w:spacing w:after="0" w:line="240" w:lineRule="auto"/>
      </w:pPr>
      <w:r>
        <w:separator/>
      </w:r>
    </w:p>
  </w:endnote>
  <w:endnote w:type="continuationSeparator" w:id="0">
    <w:p w14:paraId="4A20788A" w14:textId="77777777" w:rsidR="00873EC4" w:rsidRDefault="00873EC4" w:rsidP="00492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BB4F1" w14:textId="77777777" w:rsidR="00873EC4" w:rsidRDefault="00873EC4" w:rsidP="0049254A">
      <w:pPr>
        <w:spacing w:after="0" w:line="240" w:lineRule="auto"/>
      </w:pPr>
      <w:r>
        <w:separator/>
      </w:r>
    </w:p>
  </w:footnote>
  <w:footnote w:type="continuationSeparator" w:id="0">
    <w:p w14:paraId="4A1216FF" w14:textId="77777777" w:rsidR="00873EC4" w:rsidRDefault="00873EC4" w:rsidP="0049254A">
      <w:pPr>
        <w:spacing w:after="0" w:line="240" w:lineRule="auto"/>
      </w:pPr>
      <w:r>
        <w:continuationSeparator/>
      </w:r>
    </w:p>
  </w:footnote>
  <w:footnote w:id="1">
    <w:p w14:paraId="7E63F5F0" w14:textId="1EB9AA2B" w:rsidR="0049254A" w:rsidRDefault="0049254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Webquadrinhos</w:t>
      </w:r>
      <w:proofErr w:type="spellEnd"/>
      <w:r>
        <w:t xml:space="preserve"> é um termo </w:t>
      </w:r>
      <w:proofErr w:type="spellStart"/>
      <w:r>
        <w:t>guardachuva</w:t>
      </w:r>
      <w:proofErr w:type="spellEnd"/>
      <w:r>
        <w:t xml:space="preserve"> para vários tipos de quadrinhos digitais, tal como </w:t>
      </w:r>
      <w:proofErr w:type="spellStart"/>
      <w:r>
        <w:t>webtoons</w:t>
      </w:r>
      <w:proofErr w:type="spellEnd"/>
      <w:r>
        <w:t xml:space="preserve">, </w:t>
      </w:r>
      <w:proofErr w:type="spellStart"/>
      <w:r>
        <w:t>webtirinhas</w:t>
      </w:r>
      <w:proofErr w:type="spellEnd"/>
      <w:r>
        <w:t xml:space="preserve">, </w:t>
      </w:r>
      <w:proofErr w:type="spellStart"/>
      <w:proofErr w:type="gramStart"/>
      <w:r>
        <w:t>webzine</w:t>
      </w:r>
      <w:proofErr w:type="spellEnd"/>
      <w:r>
        <w:t>, etc.</w:t>
      </w:r>
      <w:proofErr w:type="gramEnd"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BB0"/>
    <w:rsid w:val="000916B0"/>
    <w:rsid w:val="00094DBD"/>
    <w:rsid w:val="00095E63"/>
    <w:rsid w:val="00194505"/>
    <w:rsid w:val="001E6EF8"/>
    <w:rsid w:val="0049254A"/>
    <w:rsid w:val="004F2F7E"/>
    <w:rsid w:val="00651F3E"/>
    <w:rsid w:val="00770BB0"/>
    <w:rsid w:val="00873EC4"/>
    <w:rsid w:val="008D7295"/>
    <w:rsid w:val="00991142"/>
    <w:rsid w:val="00992123"/>
    <w:rsid w:val="00A70B5E"/>
    <w:rsid w:val="00BE7BD8"/>
    <w:rsid w:val="00C133B2"/>
    <w:rsid w:val="00CA7470"/>
    <w:rsid w:val="00D943B1"/>
    <w:rsid w:val="00E126A0"/>
    <w:rsid w:val="00F04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5E42D"/>
  <w15:chartTrackingRefBased/>
  <w15:docId w15:val="{10770A8F-5D72-4859-BD2B-EE5CD1154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0B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0B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0B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0B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0B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B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B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B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B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0B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70B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0B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0B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B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B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B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B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B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0B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0B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0B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0B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0B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0B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0B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0B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0B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0B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0BB0"/>
    <w:rPr>
      <w:b/>
      <w:bCs/>
      <w:smallCaps/>
      <w:color w:val="0F4761" w:themeColor="accent1" w:themeShade="BF"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9254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9254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9254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6BAA-4935-442D-AD03-8EDC57048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263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Silva</dc:creator>
  <cp:keywords/>
  <dc:description/>
  <cp:lastModifiedBy>Erick Silva</cp:lastModifiedBy>
  <cp:revision>11</cp:revision>
  <dcterms:created xsi:type="dcterms:W3CDTF">2024-01-20T09:48:00Z</dcterms:created>
  <dcterms:modified xsi:type="dcterms:W3CDTF">2024-01-20T12:02:00Z</dcterms:modified>
</cp:coreProperties>
</file>