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RELATÓRIO TÉCNICO</w:t>
      </w:r>
    </w:p>
    <w:p>
      <w:pPr>
        <w:spacing w:after="120"/>
        <w:jc w:val="center"/>
      </w:pPr>
      <w:r>
        <w:rPr>
          <w:rFonts w:ascii="Calibri" w:hAnsi="Calibri"/>
          <w:b/>
          <w:color w:val="203748"/>
          <w:sz w:val="60"/>
        </w:rPr>
        <w:t>Análises TCM e TRI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2ª série do Ensino Médio – Matemática</w:t>
      </w:r>
    </w:p>
    <w:p>
      <w:pPr>
        <w:spacing w:after="680"/>
        <w:jc w:val="center"/>
      </w:pPr>
      <w:r>
        <w:rPr>
          <w:rFonts w:ascii="Calibri" w:hAnsi="Calibri"/>
          <w:b/>
          <w:color w:val="5F6B76"/>
          <w:sz w:val="22"/>
        </w:rPr>
        <w:t>Simulado V | Piauí, 2026</w:t>
      </w:r>
    </w:p>
    <w:p>
      <w:pPr>
        <w:spacing w:after="840"/>
        <w:jc w:val="center"/>
      </w:pPr>
      <w:r>
        <w:rPr>
          <w:rFonts w:ascii="Calibri" w:hAnsi="Calibri"/>
          <w:i/>
          <w:color w:val="5F6B76"/>
          <w:sz w:val="21"/>
        </w:rPr>
        <w:t>Documento-base metodológico: Relatório 3EM-MT 2025 e relatórios refinados de Junho/2026</w:t>
      </w:r>
    </w:p>
    <w:p>
      <w:pPr>
        <w:jc w:val="center"/>
      </w:pPr>
      <w:r>
        <w:rPr>
          <w:rFonts w:ascii="Calibri" w:hAnsi="Calibri"/>
          <w:color w:val="5F6B76"/>
          <w:sz w:val="20"/>
        </w:rPr>
        <w:t>7 de outubro de 2026</w:t>
      </w:r>
    </w:p>
    <w:p>
      <w:r>
        <w:br w:type="page"/>
      </w:r>
    </w:p>
    <w:p>
      <w:pPr>
        <w:pStyle w:val="Heading1"/>
      </w:pPr>
      <w:r>
        <w:t>1. Síntese executiva</w:t>
      </w:r>
    </w:p>
    <w:p>
      <w:pPr>
        <w:spacing w:before="80" w:after="200"/>
        <w:shd w:fill="EDF4FB"/>
        <w:pBdr>
          <w:left w:val="single" w:sz="18" w:space="8" w:color="2E74B5"/>
        </w:pBdr>
      </w:pPr>
      <w:r>
        <w:rPr>
          <w:rFonts w:ascii="Calibri" w:hAnsi="Calibri"/>
          <w:b/>
          <w:color w:val="203748"/>
          <w:sz w:val="21"/>
        </w:rPr>
        <w:t>Leitura principal. O Simulado V de Matemática da 2ª série manteve os 26 itens nas análises TCM e TRI. A distribuição das habilidades é bimodal, com duas concentrações bem distintas. Os itens tendem a ser difíceis para o grupo, e o item 13 teve seus parâmetros liberados para estimação, conforme as informações gerais.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900"/>
        <w:gridCol w:w="1350"/>
        <w:gridCol w:w="1250"/>
        <w:gridCol w:w="1000"/>
        <w:gridCol w:w="1700"/>
        <w:gridCol w:w="2010"/>
      </w:tblGrid>
      <w:tr>
        <w:trPr>
          <w:tblHeader w:val="true"/>
          <w:cantSplit/>
        </w:trP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TCM/TRI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Escore médio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do total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Proficiência média</w:t>
            </w:r>
          </w:p>
        </w:tc>
        <w:tc>
          <w:tcPr>
            <w:tcW w:type="dxa" w:w="2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Exclusão TRI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V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29.599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 / 26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9,34 / 26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35,9%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296,7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Nenhum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EscoresBrutos_Aluno, MedidasTCM_Item, EstItens e ResumoTheta do Simulado V.</w:t>
      </w:r>
    </w:p>
    <w:p>
      <w:pPr>
        <w:pStyle w:val="Heading1"/>
      </w:pPr>
      <w:r>
        <w:t>2. Dados e método</w:t>
      </w:r>
    </w:p>
    <w:p>
      <w:r>
        <w:t>A análise utiliza os arquivos de resultados do Simulado V de Matemática da 2ª série do Ensino Médio, armazenados na pasta Setembro. A TCM foi usada para examinar proporção de acertos, discriminação e correlações bisserial e ponto-bisserial. A TRI foi estimada pelo modelo logístico de três parâmetros, com equalização para a escala SAEB quando indicado nos arquivos de itens.</w:t>
      </w:r>
    </w:p>
    <w:p>
      <w:r>
        <w:t>Como nos relatórios anteriores, os limiares de discriminação e correlação ponto-bisserial abaixo de 0,20 são tratados como sinais diagnósticos, não como regras automáticas de exclusão. A decisão final combina TCM, parâmetros TRI, ajustes do modelo, estabilidade da estimação e revisão pedagógica.</w:t>
      </w:r>
    </w:p>
    <w:p>
      <w:pPr>
        <w:pStyle w:val="Heading1"/>
      </w:pPr>
      <w:r>
        <w:t>3. Resultados da TCM</w:t>
      </w:r>
    </w:p>
    <w:p>
      <w:r>
        <w:drawing>
          <wp:inline xmlns:a="http://schemas.openxmlformats.org/drawingml/2006/main" xmlns:pic="http://schemas.openxmlformats.org/drawingml/2006/picture">
            <wp:extent cx="5806440" cy="2258060"/>
            <wp:docPr id="1" name="Picture 1" descr="Gráficos de barras mostram proporção de acertos e discriminação por item no Simulado V; itens com ressalva aparecem em vermelho." title="Gráficos de barras mostram proporção de acertos e discriminação por item no Simulado V; itens com ressalva aparecem em vermel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M_MT_tcm_ite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1. Proporção de acertos e discriminação por item.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MedidasTCM_Item.xlsx, Simulado V.</w:t>
      </w:r>
    </w:p>
    <w:p>
      <w:r>
        <w:t>Nenhum item apresentou discriminação ou correlação ponto-bisserial abaixo de 0,20 na TCM. As proporções de acertos variaram de 27,4% a 45,5%, indicando que todos os itens foram acertados por menos da metade dos avaliados. A ausência de indicadores TCM abaixo do limiar não dispensa a análise dos parâmetros TRI, especialmente a baixa discriminação dos itens 9, 15 e 24.</w:t>
      </w:r>
    </w:p>
    <w:p>
      <w:pPr>
        <w:pStyle w:val="Heading1"/>
      </w:pPr>
      <w:r>
        <w:t>4. Resultados da TRI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50"/>
        <w:gridCol w:w="1700"/>
        <w:gridCol w:w="1000"/>
        <w:gridCol w:w="1050"/>
        <w:gridCol w:w="1900"/>
        <w:gridCol w:w="1460"/>
      </w:tblGrid>
      <w:tr>
        <w:trPr>
          <w:tblHeader w:val="true"/>
          <w:cantSplit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Média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IC 95% média populacional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DP EAP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Mediana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Intervalo interquartil</w:t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fixados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V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296,7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294,9 a 298,4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87,1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271,0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222,8 a 371,2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ResumoTheta e ResumoThetaIC.</w:t>
      </w:r>
    </w:p>
    <w:p>
      <w:r>
        <w:t>O intervalo de confiança refere-se à média populacional estimada no arquivo ResumoThetaIC, cujo estimador difere da média das habilidades individuais EAP em ResumoTheta. Não representa o erro individual de proficiência. O DP EAP também difere do desvio-padrão populacional estimado. As médias de disciplinas distintas não devem ser comparadas diretamente como medidas equivalentes de desempenho.</w:t>
      </w:r>
    </w:p>
    <w:p>
      <w:r>
        <w:drawing>
          <wp:inline xmlns:a="http://schemas.openxmlformats.org/drawingml/2006/main" xmlns:pic="http://schemas.openxmlformats.org/drawingml/2006/picture">
            <wp:extent cx="5806440" cy="2451608"/>
            <wp:docPr id="2" name="Picture 2" descr="Gráfico de barras mostra os percentuais de estudantes por faixa de proficiência no Simulado V." title="Gráfico de barras mostra os percentuais de estudantes por faixa de proficiência no Simulado 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M_MT_theta_d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2. Distribuição percentual dos estudantes por faixa de proficiência.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DistriAlunosClasseMT2serie_S5.xlsx.</w:t>
      </w:r>
    </w:p>
    <w:p>
      <w:r>
        <w:t>A proficiência média estimada foi 296,7, com mediana 271,0 e desvio-padrão EAP de 87,1. A proporção de estudantes na faixa de 350 pontos ou mais foi 29,0%.</w:t>
      </w:r>
    </w:p>
    <w:p>
      <w:pPr>
        <w:pStyle w:val="Heading2"/>
      </w:pPr>
      <w:r>
        <w:t>Distribuição das habilidades e bimodalidade</w:t>
      </w:r>
    </w:p>
    <w:p>
      <w:r>
        <w:drawing>
          <wp:inline xmlns:a="http://schemas.openxmlformats.org/drawingml/2006/main" xmlns:pic="http://schemas.openxmlformats.org/drawingml/2006/picture">
            <wp:extent cx="5806440" cy="2645156"/>
            <wp:docPr id="3" name="Picture 3" descr="Distribuição bimodal das habilidades EAP de 2EM MT no Simulado V, com dois picos e dificuldade dos itens na escala 250 e 50." title="Distribuição bimodal das habilidades EAP de 2EM MT no Simulado V, com dois picos e dificuldade dos itens na escala 250 e 5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M_MT_theta_density_difficul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3. Distribuição das habilidades EAP e dificuldade dos itens.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BaseRespTheta_2EM_MT_S5.xlsx e EstItens_2EM_MT_S5.xlsx; densidade gaussiana com largura de banda 10,00 pontos.</w:t>
      </w:r>
    </w:p>
    <w:p>
      <w:r>
        <w:t>A distribuição das habilidades apresenta comportamento bimodal evidente, com picos próximos de 215 e 409 pontos e vale em torno de 341 pontos. A média de 296,7 pontos resume uma população heterogênea e não representa adequadamente, sozinha, as duas concentrações de estudantes. O grupo na faixa de 350 pontos ou mais corresponde a 29,0% dos avaliados.</w:t>
      </w:r>
    </w:p>
    <w:p>
      <w:r>
        <w:t>A bimodalidade recomenda examinar separadamente a composição das duas concentrações por escola, turma e padrões de respostas, sem atribuir uma causa ao padrão apenas pela figura. A forma da densidade depende da suavização e das estimativas EAP; os dois modos não constituem níveis pedagógicos oficiais.</w:t>
      </w:r>
    </w:p>
    <w:p>
      <w:r>
        <w:t>Os itens tendem a ser difíceis para este grupo: 26 dos 26 parâmetros de dificuldade estão acima da média EAP. O item 13 foi liberado para estimação porque a dificuldade anteriormente fixada foi considerada baixa para o grupo; nos resultados atuais, apresenta a = 1,148, b na escala 250 e 50 = 454,7 e c = 0,207, com SAEB = Não. Essa decisão deve permanecer documentada ao avaliar a estabilidade da ligação entre aplicações.</w:t>
      </w:r>
    </w:p>
    <w:p>
      <w:pPr>
        <w:pStyle w:val="Heading2"/>
      </w:pPr>
      <w:r>
        <w:t>Parâmetros dos itens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Sinal para revisão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bSAEB &gt; 400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4, 13, 15, 16, 19, 25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&lt; 0,60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9, 15, 24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EstItens_2EM_MT_S5.xlsx. Os pontos de corte são diagnósticos e não implicam exclusão automática.</w:t>
      </w:r>
    </w:p>
    <w:p>
      <w:pPr>
        <w:pStyle w:val="Heading1"/>
      </w:pPr>
      <w:r>
        <w:t>5. Recomendações</w:t>
      </w:r>
    </w:p>
    <w:p>
      <w:pPr>
        <w:pStyle w:val="ListNumber"/>
      </w:pPr>
      <w:r>
        <w:t>Considerar a bimodalidade ao planejar intervenções: examinar as duas concentrações de habilidades e sua composição escolar, evitando apoiar decisões apenas na média.</w:t>
      </w:r>
    </w:p>
    <w:p>
      <w:pPr>
        <w:pStyle w:val="ListNumber"/>
      </w:pPr>
      <w:r>
        <w:t>Documentar a liberação dos parâmetros do item 13 e avaliar a estabilidade da ligação à escala nas comparações entre aplicações.</w:t>
      </w:r>
    </w:p>
    <w:p>
      <w:pPr>
        <w:pStyle w:val="ListNumber"/>
      </w:pPr>
      <w:r>
        <w:t>Revisar a cobertura de dificuldade da prova, principalmente para estudantes da concentração de menor habilidade, e examinar as curvas de informação antes de concluir sobre precisão.</w:t>
      </w:r>
    </w:p>
    <w:p>
      <w:pPr>
        <w:pStyle w:val="ListNumber"/>
      </w:pPr>
      <w:r>
        <w:t>Examinar os itens 9, 15 e 24 por discriminação TRI baixa e os itens com dificuldades acima de 400 pontos.</w:t>
      </w:r>
    </w:p>
    <w:p>
      <w:pPr>
        <w:pStyle w:val="Heading1"/>
        <w:pageBreakBefore/>
      </w:pPr>
      <w:r>
        <w:t>6. Referências e arquivos-fonte</w:t>
      </w:r>
    </w:p>
    <w:p>
      <w:r>
        <w:t>Primi, R. (2012). Psicometria: fundamentos matemáticos da Teoria Clássica dos Testes. Avaliação Psicológica, 11, 297–307.</w:t>
      </w:r>
    </w:p>
    <w:p>
      <w:r>
        <w:t>Wu, M.; Tam, H. P.; Jen, T.-H. (2017). Educational Measurement for Applied Researchers: Theory into Practice. Springer.</w:t>
      </w:r>
    </w:p>
    <w:p>
      <w:r>
        <w:t>Andrade, D. F.; Tavares, H. R.; Valle, R. C. (2000). Teoria da Resposta ao Item: conceitos e aplicações. ABE.</w:t>
      </w:r>
    </w:p>
    <w:p>
      <w:r>
        <w:t>Baker, F. B.; Kim, S.-H. (2004). Item Response Theory: Parameter Estimation Techniques. 2. ed. Marcel Dekker.</w:t>
      </w:r>
    </w:p>
    <w:p>
      <w:r>
        <w:t>Relatório Técnico 3EM-MT 2025 e relatórios refinados de Junho/2026.</w:t>
      </w:r>
    </w:p>
    <w:p>
      <w:pPr>
        <w:pStyle w:val="Heading2"/>
      </w:pPr>
      <w:r>
        <w:t>Arquivos de resultados utilizados</w:t>
      </w:r>
    </w:p>
    <w:p>
      <w:pPr>
        <w:pStyle w:val="ListBullet"/>
      </w:pPr>
      <w:r>
        <w:t>ResultadosTCM_2EM_MT/Simulado_V: EscoresBrutos_Aluno.xlsx, MedidasTCM_Item.xlsx, mDificNRDF.xlsx, mDiscNRDF.xlsx e mcpBisNRDF.xlsx.</w:t>
      </w:r>
    </w:p>
    <w:p>
      <w:pPr>
        <w:pStyle w:val="ListBullet"/>
      </w:pPr>
      <w:r>
        <w:t>ResultadosTRI_2EM_MT/Simulado_V: ResumoTheta, ResumoThetaIC, EstItens, DistriAlunosClasse e BaseRespTheta.</w:t>
      </w:r>
    </w:p>
    <w:p>
      <w:pPr>
        <w:pStyle w:val="ListBullet"/>
      </w:pPr>
      <w:r>
        <w:t>Programas/TCM_2EM_MT_S5.R e Fit_3PL_Fix_2EM_MT_S5.R.</w:t>
      </w:r>
    </w:p>
    <w:p>
      <w:pPr>
        <w:pStyle w:val="ListBullet"/>
      </w:pPr>
      <w:r>
        <w:t>Informações gerais..odt, com as ressalvas técnicas registradas pela equipe.</w:t>
      </w:r>
    </w:p>
    <w:p>
      <w:r>
        <w:br w:type="page"/>
      </w:r>
    </w:p>
    <w:p>
      <w:pPr>
        <w:pStyle w:val="Heading1"/>
      </w:pPr>
      <w:r>
        <w:t>Apêndice A. Medidas TCM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1800"/>
        <w:gridCol w:w="2000"/>
        <w:gridCol w:w="24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Proporção de acertos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0,278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0,801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0,763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0,799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0,760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0,298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0,824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0,294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0,741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0,775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0,746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0,274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0,779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0,482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ResultadosTCM_2EM_MT/Simulado_V/MedidasTCM_Item.xlsx.</w:t>
      </w:r>
    </w:p>
    <w:p>
      <w:r>
        <w:br w:type="page"/>
      </w:r>
    </w:p>
    <w:p>
      <w:pPr>
        <w:pStyle w:val="Heading1"/>
      </w:pPr>
      <w:r>
        <w:t>Apêndice B. Parâmetros TRI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00"/>
        <w:gridCol w:w="1300"/>
        <w:gridCol w:w="2500"/>
        <w:gridCol w:w="1400"/>
        <w:gridCol w:w="19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 (escala 250,50)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Fixado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1,140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2,964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398,2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1,596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2,796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389,8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1,894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2,996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399,8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1,097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3,409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420,4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1,895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2,931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396,6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1,670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2,662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383,1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1,483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2,731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386,6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1,677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2,592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379,6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0,245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2,325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366,2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2,498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374,9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1,711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2,670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383,5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380,2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1,148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4,094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454,7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0,968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298,4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3,985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449,3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1,496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3,248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412,4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1,181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2,326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366,3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2,631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381,6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1,380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3,377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418,8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2,495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2,745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387,2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1,265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2,713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385,7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1,853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2,944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397,2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1,096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2,051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352,6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0,175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2,621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381,1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0,050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1,973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3,002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400,1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2,859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392,9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ResultadosTRI_2EM_MT/Simulado_V/EstItens_2EM_MT_S5.xlsx.</w:t>
      </w:r>
    </w:p>
    <w:p>
      <w:r>
        <w:br w:type="page"/>
      </w:r>
    </w:p>
    <w:p>
      <w:pPr>
        <w:pStyle w:val="Heading1"/>
      </w:pPr>
      <w:r>
        <w:t>Apêndice C. Distribuição por faixa de proficiência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200"/>
        <w:gridCol w:w="2960"/>
      </w:tblGrid>
      <w:tr>
        <w:trPr>
          <w:tblHeader w:val="true"/>
          <w:cantSplit/>
        </w:trPr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Faixa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 de alunos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Percentual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[0,25)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[25,50)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[50,100)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[100,125)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[125,150)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[150,175)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[175,200)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2.784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9,406%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[200,225)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5.036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17,014%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[225,250)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4.018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13,575%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[250,275)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3.459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11,686%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[275,300)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2.627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8,875%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[300,325)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1.777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6,004%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[325,350)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1.307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4,416%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[350,1e+03)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8.591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29,025%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DistriAlunosClasseMT2serie_S5.xlsx.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6"/>
        <w:sz w:val="17"/>
      </w:rPr>
      <w:t>PIAUÍ 2026 | SIMULADO V | 2EM-MT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