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360"/>
        <w:rPr/>
      </w:pPr>
      <w:r>
        <w:rPr/>
      </w:r>
    </w:p>
    <w:p>
      <w:pPr>
        <w:pStyle w:val="Normal"/>
        <w:spacing w:before="0" w:after="360"/>
        <w:rPr/>
      </w:pPr>
      <w:r>
        <w:rPr/>
      </w:r>
    </w:p>
    <w:p>
      <w:pPr>
        <w:pStyle w:val="Normal"/>
        <w:spacing w:before="0" w:after="360"/>
        <w:rPr/>
      </w:pPr>
      <w:r>
        <w:rPr/>
      </w:r>
    </w:p>
    <w:p>
      <w:pPr>
        <w:pStyle w:val="Normal"/>
        <w:spacing w:before="0" w:after="360"/>
        <w:rPr/>
      </w:pPr>
      <w:r>
        <w:rPr/>
      </w:r>
    </w:p>
    <w:p>
      <w:pPr>
        <w:pStyle w:val="Normal"/>
        <w:spacing w:before="0" w:after="360"/>
        <w:rPr/>
      </w:pPr>
      <w:r>
        <w:rPr/>
      </w:r>
    </w:p>
    <w:p>
      <w:pPr>
        <w:pStyle w:val="Normal"/>
        <w:spacing w:before="0" w:after="360"/>
        <w:jc w:val="center"/>
        <w:rPr/>
      </w:pPr>
      <w:r>
        <w:rPr>
          <w:b/>
          <w:color w:val="2E74B5"/>
          <w:sz w:val="22"/>
        </w:rPr>
        <w:t>RELATÓRIO TÉCNICO</w:t>
      </w:r>
    </w:p>
    <w:p>
      <w:pPr>
        <w:pStyle w:val="Normal"/>
        <w:spacing w:before="0" w:after="120"/>
        <w:jc w:val="center"/>
        <w:rPr/>
      </w:pPr>
      <w:r>
        <w:rPr>
          <w:b/>
          <w:color w:val="203748"/>
          <w:sz w:val="60"/>
        </w:rPr>
        <w:t>Análises TCM e TRI</w:t>
      </w:r>
    </w:p>
    <w:p>
      <w:pPr>
        <w:pStyle w:val="Normal"/>
        <w:spacing w:before="0" w:after="560"/>
        <w:jc w:val="center"/>
        <w:rPr/>
      </w:pPr>
      <w:r>
        <w:rPr>
          <w:color w:val="1F4D78"/>
          <w:sz w:val="30"/>
        </w:rPr>
        <w:t>3ª série do Ensino Médio – Matemática</w:t>
      </w:r>
    </w:p>
    <w:p>
      <w:pPr>
        <w:pStyle w:val="Normal"/>
        <w:spacing w:before="0" w:after="680"/>
        <w:jc w:val="center"/>
        <w:rPr/>
      </w:pPr>
      <w:r>
        <w:rPr>
          <w:b/>
          <w:color w:val="5F6B76"/>
          <w:sz w:val="22"/>
        </w:rPr>
        <w:t>Simulado III | Piauí, 2026</w:t>
      </w:r>
    </w:p>
    <w:p>
      <w:pPr>
        <w:pStyle w:val="Normal"/>
        <w:spacing w:before="0" w:after="840"/>
        <w:jc w:val="center"/>
        <w:rPr/>
      </w:pPr>
      <w:r>
        <w:rPr>
          <w:i/>
          <w:color w:val="5F6B76"/>
          <w:sz w:val="21"/>
        </w:rPr>
        <w:t>Documento-base metodológico: Relatório 3EM-MT 2025 e relatórios refinados de Junho/2026</w:t>
      </w:r>
    </w:p>
    <w:p>
      <w:pPr>
        <w:pStyle w:val="Normal"/>
        <w:jc w:val="center"/>
        <w:rPr/>
      </w:pPr>
      <w:r>
        <w:rPr>
          <w:color w:val="5F6B76"/>
          <w:sz w:val="20"/>
        </w:rPr>
        <w:t>21 de julho de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1. Síntese executiva</w:t>
      </w:r>
    </w:p>
    <w:p>
      <w:pPr>
        <w:pStyle w:val="Normal"/>
        <w:pBdr>
          <w:left w:val="single" w:sz="18" w:space="8" w:color="2E74B5"/>
        </w:pBdr>
        <w:shd w:fill="EDF4FB"/>
        <w:spacing w:before="80" w:after="200"/>
        <w:rPr/>
      </w:pPr>
      <w:r>
        <w:rPr>
          <w:b/>
          <w:color w:val="203748"/>
          <w:sz w:val="21"/>
        </w:rPr>
        <w:t>Leitura principal. O Simulado III de Matemática da 3ª série teve o item 25 anulado antes da leitura TCM/TRI e o item 6 retirado da calibração TRI por possível conflito de gabarito. O restante da prova foi calibrado com 24 itens. A distribuição das proficiências estimadas é bimodal, com um segundo pico em faixa alta da escala, sugerindo a presença de um subgrupo de estudantes com maior proficiência.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1150"/>
        <w:gridCol w:w="899"/>
        <w:gridCol w:w="1350"/>
        <w:gridCol w:w="1251"/>
        <w:gridCol w:w="999"/>
        <w:gridCol w:w="1701"/>
        <w:gridCol w:w="2009"/>
      </w:tblGrid>
      <w:tr>
        <w:trPr>
          <w:tblHeader w:val="true"/>
          <w:cantSplit w:val="true"/>
        </w:trPr>
        <w:tc>
          <w:tcPr>
            <w:tcW w:w="115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Aplicação</w:t>
            </w:r>
          </w:p>
        </w:tc>
        <w:tc>
          <w:tcPr>
            <w:tcW w:w="8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N</w:t>
            </w:r>
          </w:p>
        </w:tc>
        <w:tc>
          <w:tcPr>
            <w:tcW w:w="135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Itens TCM/TRI</w:t>
            </w:r>
          </w:p>
        </w:tc>
        <w:tc>
          <w:tcPr>
            <w:tcW w:w="125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Escore médio</w:t>
            </w:r>
          </w:p>
        </w:tc>
        <w:tc>
          <w:tcPr>
            <w:tcW w:w="9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% do total</w:t>
            </w:r>
          </w:p>
        </w:tc>
        <w:tc>
          <w:tcPr>
            <w:tcW w:w="170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Proficiência média</w:t>
            </w:r>
          </w:p>
        </w:tc>
        <w:tc>
          <w:tcPr>
            <w:tcW w:w="200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Exclusão TRI</w:t>
            </w:r>
          </w:p>
        </w:tc>
      </w:tr>
      <w:tr>
        <w:trPr>
          <w:cantSplit w:val="true"/>
        </w:trPr>
        <w:tc>
          <w:tcPr>
            <w:tcW w:w="11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III</w:t>
            </w:r>
          </w:p>
        </w:tc>
        <w:tc>
          <w:tcPr>
            <w:tcW w:w="8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29.760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25 / 24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8,57 / 25</w:t>
            </w:r>
          </w:p>
        </w:tc>
        <w:tc>
          <w:tcPr>
            <w:tcW w:w="9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34,3%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317,7</w:t>
            </w:r>
          </w:p>
        </w:tc>
        <w:tc>
          <w:tcPr>
            <w:tcW w:w="200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6; item 25 anulado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EscoresBrutos_Aluno, MedidasTCM_Item, EstItens e ResumoTheta do Simulado III.</w:t>
      </w:r>
    </w:p>
    <w:p>
      <w:pPr>
        <w:pStyle w:val="Heading1"/>
        <w:rPr/>
      </w:pPr>
      <w:r>
        <w:rPr/>
        <w:t>2. Dados e método</w:t>
      </w:r>
    </w:p>
    <w:p>
      <w:pPr>
        <w:pStyle w:val="Normal"/>
        <w:rPr/>
      </w:pPr>
      <w:r>
        <w:rPr/>
        <w:t>A análise utiliza os arquivos de resultados do Simulado III de Matemática da 3ª série do Ensino Médio, armazenados na pasta Julho. A TCM foi usada para examinar proporção de acertos, discriminação e correlações bisserial e ponto-bisserial. A TRI foi estimada pelo modelo logístico de três parâmetros, com equalização para a escala SAEB quando indicado nos arquivos de itens.</w:t>
      </w:r>
    </w:p>
    <w:p>
      <w:pPr>
        <w:pStyle w:val="Normal"/>
        <w:rPr/>
      </w:pPr>
      <w:r>
        <w:rPr/>
        <w:t>Como nos relatórios anteriores, os limiares de discriminação e correlação ponto-bisserial abaixo de 0,20 são tratados como sinais diagnósticos, não como regras automáticas de exclusão. A decisão final combina TCM, parâmetros TRI, ajustes do modelo, estabilidade da estimação e revisão pedagógica.</w:t>
      </w:r>
    </w:p>
    <w:p>
      <w:pPr>
        <w:pStyle w:val="Heading1"/>
        <w:rPr/>
      </w:pPr>
      <w:r>
        <w:rPr/>
        <w:t>3. Resultados da TCM</w:t>
      </w:r>
    </w:p>
    <w:p>
      <w:pPr>
        <w:pStyle w:val="Normal"/>
        <w:rPr/>
      </w:pPr>
      <w:r>
        <w:rPr/>
        <w:drawing>
          <wp:inline distT="0" distB="0" distL="0" distR="0">
            <wp:extent cx="5806440" cy="2258060"/>
            <wp:effectExtent l="0" t="0" r="0" b="0"/>
            <wp:docPr id="1" name="Picture 1" descr="Gráficos de barras mostram proporção de acertos e discriminação por item no Simulado III; itens com ressalva aparecem em vermelho.&#10;Gráficos de barras mostram proporção de acertos e discriminação por item no Simulado III; itens com ressalva aparecem em vermelh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áficos de barras mostram proporção de acertos e discriminação por item no Simulado III; itens com ressalva aparecem em vermelho.&#10;Gráficos de barras mostram proporção de acertos e discriminação por item no Simulado III; itens com ressalva aparecem em vermelho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258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</w:pPr>
      <w:r>
        <w:rPr>
          <w:i/>
          <w:color w:val="5F6B76"/>
          <w:sz w:val="18"/>
        </w:rPr>
        <w:t>Figura 1. Proporção de acertos e discriminação por item.</w:t>
      </w:r>
    </w:p>
    <w:p>
      <w:pPr>
        <w:pStyle w:val="Normal"/>
        <w:spacing w:before="80" w:after="80"/>
        <w:rPr/>
      </w:pPr>
      <w:r>
        <w:rPr>
          <w:color w:val="5F6B76"/>
          <w:sz w:val="17"/>
        </w:rPr>
        <w:t>Fonte: MedidasTCM_Item.xlsx, Simulado III.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749"/>
        <w:gridCol w:w="1351"/>
        <w:gridCol w:w="1350"/>
        <w:gridCol w:w="1499"/>
        <w:gridCol w:w="1701"/>
        <w:gridCol w:w="2709"/>
      </w:tblGrid>
      <w:tr>
        <w:trPr>
          <w:tblHeader w:val="true"/>
          <w:cantSplit w:val="true"/>
        </w:trPr>
        <w:tc>
          <w:tcPr>
            <w:tcW w:w="74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Item</w:t>
            </w:r>
          </w:p>
        </w:tc>
        <w:tc>
          <w:tcPr>
            <w:tcW w:w="135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Prop. acertos</w:t>
            </w:r>
          </w:p>
        </w:tc>
        <w:tc>
          <w:tcPr>
            <w:tcW w:w="135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Discriminação</w:t>
            </w:r>
          </w:p>
        </w:tc>
        <w:tc>
          <w:tcPr>
            <w:tcW w:w="14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Corr. bisserial</w:t>
            </w:r>
          </w:p>
        </w:tc>
        <w:tc>
          <w:tcPr>
            <w:tcW w:w="170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Corr. ponto-bisserial</w:t>
            </w:r>
          </w:p>
        </w:tc>
        <w:tc>
          <w:tcPr>
            <w:tcW w:w="270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Encaminhamento</w:t>
            </w:r>
          </w:p>
        </w:tc>
      </w:tr>
      <w:tr>
        <w:trPr>
          <w:cantSplit w:val="true"/>
        </w:trPr>
        <w:tc>
          <w:tcPr>
            <w:tcW w:w="7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006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0,122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-0,005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-0,009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-0,006</w:t>
            </w:r>
          </w:p>
        </w:tc>
        <w:tc>
          <w:tcPr>
            <w:tcW w:w="270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Excluído da TRI; possível conflito de gabarito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MedidasTCM_Item.xlsx e Impressões gerais..odt.</w:t>
      </w:r>
    </w:p>
    <w:p>
      <w:pPr>
        <w:pStyle w:val="Normal"/>
        <w:rPr/>
      </w:pPr>
      <w:r>
        <w:rPr/>
        <w:t>O item 6 apresentou funcionamento incompatível com a chave: o gabarito A reuniu 12,2% das escolhas e ponto-bisserial praticamente nulo, enquanto o distrator D concentrou 51,9% das respostas e ponto-bisserial 0,281. O padrão sustenta a retirada do item da calibração TRI. O item 25 foi tratado como anulado, reduzindo o conjunto TCM a 25 itens.</w:t>
      </w:r>
    </w:p>
    <w:p>
      <w:pPr>
        <w:pStyle w:val="Heading2"/>
        <w:rPr/>
      </w:pPr>
      <w:r>
        <w:rPr/>
        <w:t>Diagnóstico das alternativas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800"/>
        <w:gridCol w:w="1149"/>
        <w:gridCol w:w="1400"/>
        <w:gridCol w:w="1700"/>
        <w:gridCol w:w="1900"/>
        <w:gridCol w:w="2410"/>
      </w:tblGrid>
      <w:tr>
        <w:trPr>
          <w:tblHeader w:val="true"/>
          <w:cantSplit w:val="true"/>
        </w:trPr>
        <w:tc>
          <w:tcPr>
            <w:tcW w:w="8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Item</w:t>
            </w:r>
          </w:p>
        </w:tc>
        <w:tc>
          <w:tcPr>
            <w:tcW w:w="114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Alternativa</w:t>
            </w:r>
          </w:p>
        </w:tc>
        <w:tc>
          <w:tcPr>
            <w:tcW w:w="14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% escolha</w:t>
            </w:r>
          </w:p>
        </w:tc>
        <w:tc>
          <w:tcPr>
            <w:tcW w:w="17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Discriminação</w:t>
            </w:r>
          </w:p>
        </w:tc>
        <w:tc>
          <w:tcPr>
            <w:tcW w:w="19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Ponto-bisserial</w:t>
            </w:r>
          </w:p>
        </w:tc>
        <w:tc>
          <w:tcPr>
            <w:tcW w:w="241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Papel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A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12,2%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-0,005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-0,006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Gabarito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B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14,2%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-0,175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-0,193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Distrator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C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11,5%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-0,136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-0,164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Distrator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D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51,9%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0,351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0,281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Distrator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E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9,4%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-0,018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-0,038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Distrator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mDificNRDF, mDiscNRDF e mcpBisNRDF, Simulado III.</w:t>
      </w:r>
    </w:p>
    <w:p>
      <w:pPr>
        <w:pStyle w:val="Heading1"/>
        <w:rPr/>
      </w:pPr>
      <w:r>
        <w:rPr/>
        <w:t>4. Resultados da TRI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1300"/>
        <w:gridCol w:w="950"/>
        <w:gridCol w:w="1699"/>
        <w:gridCol w:w="1000"/>
        <w:gridCol w:w="1050"/>
        <w:gridCol w:w="1900"/>
        <w:gridCol w:w="1460"/>
      </w:tblGrid>
      <w:tr>
        <w:trPr>
          <w:tblHeader w:val="true"/>
          <w:cantSplit w:val="true"/>
        </w:trPr>
        <w:tc>
          <w:tcPr>
            <w:tcW w:w="13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Aplicação</w:t>
            </w:r>
          </w:p>
        </w:tc>
        <w:tc>
          <w:tcPr>
            <w:tcW w:w="95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Média</w:t>
            </w:r>
          </w:p>
        </w:tc>
        <w:tc>
          <w:tcPr>
            <w:tcW w:w="16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IC 95% da média</w:t>
            </w:r>
          </w:p>
        </w:tc>
        <w:tc>
          <w:tcPr>
            <w:tcW w:w="10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DP EAP</w:t>
            </w:r>
          </w:p>
        </w:tc>
        <w:tc>
          <w:tcPr>
            <w:tcW w:w="105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Mediana</w:t>
            </w:r>
          </w:p>
        </w:tc>
        <w:tc>
          <w:tcPr>
            <w:tcW w:w="19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Intervalo interquartil</w:t>
            </w:r>
          </w:p>
        </w:tc>
        <w:tc>
          <w:tcPr>
            <w:tcW w:w="146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Itens fixados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III</w:t>
            </w:r>
          </w:p>
        </w:tc>
        <w:tc>
          <w:tcPr>
            <w:tcW w:w="9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317,7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316,5 a 318,9</w:t>
            </w:r>
          </w:p>
        </w:tc>
        <w:tc>
          <w:tcPr>
            <w:tcW w:w="10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52,8</w:t>
            </w:r>
          </w:p>
        </w:tc>
        <w:tc>
          <w:tcPr>
            <w:tcW w:w="10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303,7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273,9 a 362,4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10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ResumoTheta e ResumoThetaIC.</w:t>
      </w:r>
    </w:p>
    <w:p>
      <w:pPr>
        <w:pStyle w:val="Normal"/>
        <w:rPr/>
      </w:pPr>
      <w:r>
        <w:rPr/>
        <w:drawing>
          <wp:inline distT="0" distB="0" distL="0" distR="0">
            <wp:extent cx="5806440" cy="2451735"/>
            <wp:effectExtent l="0" t="0" r="0" b="0"/>
            <wp:docPr id="2" name="Picture 2" descr="Gráfico de barras mostra os percentuais de estudantes por faixa de proficiência no Simulado III.&#10;Gráfico de barras mostra os percentuais de estudantes por faixa de proficiência no Simulado II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áfico de barras mostra os percentuais de estudantes por faixa de proficiência no Simulado III.&#10;Gráfico de barras mostra os percentuais de estudantes por faixa de proficiência no Simulado III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451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</w:pPr>
      <w:r>
        <w:rPr>
          <w:i/>
          <w:color w:val="5F6B76"/>
          <w:sz w:val="18"/>
        </w:rPr>
        <w:t>Figura 2. Distribuição percentual dos estudantes por faixa de proficiência.</w:t>
      </w:r>
    </w:p>
    <w:p>
      <w:pPr>
        <w:pStyle w:val="Normal"/>
        <w:spacing w:before="80" w:after="80"/>
        <w:rPr/>
      </w:pPr>
      <w:r>
        <w:rPr>
          <w:color w:val="5F6B76"/>
          <w:sz w:val="17"/>
        </w:rPr>
        <w:t>Fonte: DistriAlunosClasseMT3serie_S3.xlsx.</w:t>
      </w:r>
    </w:p>
    <w:p>
      <w:pPr>
        <w:pStyle w:val="Normal"/>
        <w:rPr/>
      </w:pPr>
      <w:r>
        <w:rPr/>
        <w:t>A proficiência média estimada foi 317,7, com mediana 303,7 e desvio-padrão EAP de 52,8. A proporção de estudantes na faixa de 350 pontos ou mais foi 29,0%.</w:t>
      </w:r>
    </w:p>
    <w:p>
      <w:pPr>
        <w:pStyle w:val="Heading2"/>
        <w:rPr/>
      </w:pPr>
      <w:r>
        <w:rPr/>
        <w:t>Densidade estimada e dificuldade dos itens</w:t>
      </w:r>
    </w:p>
    <w:p>
      <w:pPr>
        <w:pStyle w:val="Normal"/>
        <w:rPr/>
      </w:pPr>
      <w:r>
        <w:rPr/>
        <w:drawing>
          <wp:inline distT="0" distB="0" distL="0" distR="0">
            <wp:extent cx="5806440" cy="2645410"/>
            <wp:effectExtent l="0" t="0" r="0" b="0"/>
            <wp:docPr id="3" name="Picture 3" descr="Curva de densidade das proficiências EAP da 3ª série em Matemática no Simulado III, com pontos de dificuldade bSAEB dos itens sobrepostos no eixo da escala.&#10;Curva de densidade das proficiências EAP da 3ª série em Matemática no Simulado III, com pontos de dificuldade bSAEB dos itens sobrepostos no eixo da escal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urva de densidade das proficiências EAP da 3ª série em Matemática no Simulado III, com pontos de dificuldade bSAEB dos itens sobrepostos no eixo da escala.&#10;Curva de densidade das proficiências EAP da 3ª série em Matemática no Simulado III, com pontos de dificuldade bSAEB dos itens sobrepostos no eixo da escala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645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</w:pPr>
      <w:r>
        <w:rPr>
          <w:i/>
          <w:color w:val="5F6B76"/>
          <w:sz w:val="18"/>
        </w:rPr>
        <w:t>Figura 3. Densidade estimada das proficiências e parâmetros de dificuldade dos itens.</w:t>
      </w:r>
    </w:p>
    <w:p>
      <w:pPr>
        <w:pStyle w:val="Normal"/>
        <w:spacing w:before="80" w:after="80"/>
        <w:rPr/>
      </w:pPr>
      <w:r>
        <w:rPr>
          <w:color w:val="5F6B76"/>
          <w:sz w:val="17"/>
        </w:rPr>
        <w:t>Fonte: BaseRespTheta_3EM_MT_S3.xlsx e EstItens_3EM_MT_S3.xlsx; procedimento espelhado no script Fit_3PL_Fix_3EM_MT_S3.R.</w:t>
      </w:r>
    </w:p>
    <w:p>
      <w:pPr>
        <w:pStyle w:val="Normal"/>
        <w:pBdr>
          <w:left w:val="single" w:sz="18" w:space="8" w:color="D9822B"/>
        </w:pBdr>
        <w:shd w:fill="FFF4CE"/>
        <w:rPr/>
      </w:pPr>
      <w:r>
        <w:rPr>
          <w:b/>
          <w:color w:val="6B4E00"/>
          <w:sz w:val="21"/>
        </w:rPr>
        <w:t>A densidade estimada das proficiências individuais EAP apresenta d</w:t>
      </w:r>
      <w:r>
        <w:rPr>
          <w:b/>
          <w:color w:val="6B4E00"/>
          <w:sz w:val="21"/>
        </w:rPr>
        <w:t>uas</w:t>
      </w:r>
      <w:r>
        <w:rPr>
          <w:b/>
          <w:color w:val="6B4E00"/>
          <w:sz w:val="21"/>
        </w:rPr>
        <w:t xml:space="preserve"> mod</w:t>
      </w:r>
      <w:r>
        <w:rPr>
          <w:b/>
          <w:color w:val="6B4E00"/>
          <w:sz w:val="21"/>
        </w:rPr>
        <w:t>a</w:t>
      </w:r>
      <w:r>
        <w:rPr>
          <w:b/>
          <w:color w:val="6B4E00"/>
          <w:sz w:val="21"/>
        </w:rPr>
        <w:t>s, próxim</w:t>
      </w:r>
      <w:r>
        <w:rPr>
          <w:b/>
          <w:color w:val="6B4E00"/>
          <w:sz w:val="21"/>
        </w:rPr>
        <w:t>a</w:t>
      </w:r>
      <w:r>
        <w:rPr>
          <w:b/>
          <w:color w:val="6B4E00"/>
          <w:sz w:val="21"/>
        </w:rPr>
        <w:t>s de 270 e 386 pontos, com vale intermediário em torno de 351 pontos. Esse padrão sugere heterogeneidade substantiva na população avaliada: além do grupo principal em faixa intermediária, há um subgrupo de maior proficiência, consistente com os 29,0% de estudantes posicionados em 350 pontos ou mais.</w:t>
      </w:r>
    </w:p>
    <w:p>
      <w:pPr>
        <w:pStyle w:val="Normal"/>
        <w:rPr/>
      </w:pPr>
      <w:r>
        <w:rPr/>
        <w:t>A sobreposição dos parâmetros de dificuldade dos itens mostra que vários itens calibrados se concentram acima de 350 pontos, região onde se localiza o segund</w:t>
      </w:r>
      <w:r>
        <w:rPr/>
        <w:t>a</w:t>
      </w:r>
      <w:r>
        <w:rPr/>
        <w:t xml:space="preserve"> mod</w:t>
      </w:r>
      <w:r>
        <w:rPr/>
        <w:t>a</w:t>
      </w:r>
      <w:r>
        <w:rPr/>
        <w:t>. Assim, a forma do Simulado III parece fornecer informação útil para diferenciar estudantes de maior proficiência, embora a interpretação desse subgrupo deva ser confirmada com análises de composição escolar, participação e padrão de respostas.</w:t>
      </w:r>
    </w:p>
    <w:p>
      <w:pPr>
        <w:pStyle w:val="Heading2"/>
        <w:rPr/>
      </w:pPr>
      <w:r>
        <w:rPr/>
        <w:t>Parâmetros dos itens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2600"/>
        <w:gridCol w:w="6759"/>
      </w:tblGrid>
      <w:tr>
        <w:trPr>
          <w:tblHeader w:val="true"/>
          <w:cantSplit w:val="true"/>
        </w:trPr>
        <w:tc>
          <w:tcPr>
            <w:tcW w:w="26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Sinal para revisão</w:t>
            </w:r>
          </w:p>
        </w:tc>
        <w:tc>
          <w:tcPr>
            <w:tcW w:w="675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Itens</w:t>
            </w:r>
          </w:p>
        </w:tc>
      </w:tr>
      <w:tr>
        <w:trPr>
          <w:cantSplit w:val="true"/>
        </w:trPr>
        <w:tc>
          <w:tcPr>
            <w:tcW w:w="26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bSAEB &gt; 400</w:t>
            </w:r>
          </w:p>
        </w:tc>
        <w:tc>
          <w:tcPr>
            <w:tcW w:w="6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8, 17, 19, 20, 21, 22</w:t>
            </w:r>
          </w:p>
        </w:tc>
      </w:tr>
      <w:tr>
        <w:trPr>
          <w:cantSplit w:val="true"/>
        </w:trPr>
        <w:tc>
          <w:tcPr>
            <w:tcW w:w="26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a &lt; 0,60</w:t>
            </w:r>
          </w:p>
        </w:tc>
        <w:tc>
          <w:tcPr>
            <w:tcW w:w="6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4, 20</w:t>
            </w:r>
          </w:p>
        </w:tc>
      </w:tr>
      <w:tr>
        <w:trPr>
          <w:cantSplit w:val="true"/>
        </w:trPr>
        <w:tc>
          <w:tcPr>
            <w:tcW w:w="26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a &gt; 4,00</w:t>
            </w:r>
          </w:p>
        </w:tc>
        <w:tc>
          <w:tcPr>
            <w:tcW w:w="6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9, 11, 13</w:t>
            </w:r>
          </w:p>
        </w:tc>
      </w:tr>
      <w:tr>
        <w:trPr>
          <w:cantSplit w:val="true"/>
        </w:trPr>
        <w:tc>
          <w:tcPr>
            <w:tcW w:w="26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c &gt; 0,25</w:t>
            </w:r>
          </w:p>
        </w:tc>
        <w:tc>
          <w:tcPr>
            <w:tcW w:w="6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EstItens_3EM_MT_S3.xlsx. Os pontos de corte são diagnósticos e não implicam exclusão automática.</w:t>
      </w:r>
    </w:p>
    <w:p>
      <w:pPr>
        <w:pStyle w:val="Heading1"/>
        <w:rPr/>
      </w:pPr>
      <w:r>
        <w:rPr/>
        <w:t>5. Recomendações</w:t>
      </w:r>
    </w:p>
    <w:p>
      <w:pPr>
        <w:pStyle w:val="ListNumber"/>
        <w:numPr>
          <w:ilvl w:val="0"/>
          <w:numId w:val="4"/>
        </w:numPr>
        <w:ind w:hanging="360" w:left="720"/>
        <w:rPr/>
      </w:pPr>
      <w:r>
        <w:rPr/>
        <w:t>Manter documentada a anulação do item 25 e a exclusão TRI do item 6.</w:t>
      </w:r>
    </w:p>
    <w:p>
      <w:pPr>
        <w:pStyle w:val="ListNumber"/>
        <w:numPr>
          <w:ilvl w:val="0"/>
          <w:numId w:val="4"/>
        </w:numPr>
        <w:ind w:hanging="360" w:left="720"/>
        <w:rPr/>
      </w:pPr>
      <w:r>
        <w:rPr/>
        <w:t>Revisar formalmente o gabarito, a resolução e os distratores do item 6 antes de qualquer uso posterior.</w:t>
      </w:r>
    </w:p>
    <w:p>
      <w:pPr>
        <w:pStyle w:val="ListNumber"/>
        <w:numPr>
          <w:ilvl w:val="0"/>
          <w:numId w:val="4"/>
        </w:numPr>
        <w:ind w:hanging="360" w:left="720"/>
        <w:rPr/>
      </w:pPr>
      <w:r>
        <w:rPr/>
        <w:t>Interpretar os indicadores da aplicação com denominador de 25 itens na TCM e 24 na TRI.</w:t>
      </w:r>
    </w:p>
    <w:p>
      <w:pPr>
        <w:pStyle w:val="ListNumber"/>
        <w:numPr>
          <w:ilvl w:val="0"/>
          <w:numId w:val="4"/>
        </w:numPr>
        <w:ind w:hanging="360" w:left="720"/>
        <w:rPr/>
      </w:pPr>
      <w:r>
        <w:rPr/>
        <w:t xml:space="preserve">Investigar a composição do subgrupo de maior proficiência sugerido pela bimodalidade, verificando escola, turma, </w:t>
      </w:r>
      <w:r>
        <w:rPr/>
        <w:t>modalidade de ensino,</w:t>
      </w:r>
      <w:r>
        <w:rPr/>
        <w:t xml:space="preserve"> histórico de participação e padrão de itens acertados.</w:t>
      </w:r>
    </w:p>
    <w:p>
      <w:pPr>
        <w:pStyle w:val="Heading1"/>
        <w:rPr/>
      </w:pPr>
      <w:r>
        <w:rPr/>
        <w:t>6. Referências e arquivos-fonte</w:t>
      </w:r>
    </w:p>
    <w:p>
      <w:pPr>
        <w:pStyle w:val="Normal"/>
        <w:rPr/>
      </w:pPr>
      <w:r>
        <w:rPr/>
        <w:t>Primi, R. (2012). Psicometria: fundamentos matemáticos da Teoria Clássica dos Testes. Avaliação Psicológica, 11, 297–307.</w:t>
      </w:r>
    </w:p>
    <w:p>
      <w:pPr>
        <w:pStyle w:val="Normal"/>
        <w:rPr/>
      </w:pPr>
      <w:r>
        <w:rPr/>
        <w:t>Wu, M.; Tam, H. P.; Jen, T.-H. (2017). Educational Measurement for Applied Researchers: Theory into Practice. Springer.</w:t>
      </w:r>
    </w:p>
    <w:p>
      <w:pPr>
        <w:pStyle w:val="Normal"/>
        <w:rPr/>
      </w:pPr>
      <w:r>
        <w:rPr/>
        <w:t>Andrade, D. F.; Tavares, H. R.; Valle, R. C. (2000). Teoria da Resposta ao Item: conceitos e aplicações. ABE.</w:t>
      </w:r>
    </w:p>
    <w:p>
      <w:pPr>
        <w:pStyle w:val="Normal"/>
        <w:rPr/>
      </w:pPr>
      <w:r>
        <w:rPr/>
        <w:t>Baker, F. B.; Kim, S.-H. (2004). Item Response Theory: Parameter Estimation Techniques. 2. ed. Marcel Dekker.</w:t>
      </w:r>
    </w:p>
    <w:p>
      <w:pPr>
        <w:pStyle w:val="Normal"/>
        <w:rPr/>
      </w:pPr>
      <w:r>
        <w:rPr/>
        <w:t>Relatório Técnico 3EM-MT 2025 e relatórios refinados de Junho/2026.</w:t>
      </w:r>
    </w:p>
    <w:p>
      <w:pPr>
        <w:pStyle w:val="Heading2"/>
        <w:rPr/>
      </w:pPr>
      <w:r>
        <w:rPr/>
        <w:t>Arquivos de resultados utilizados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ResultadosTCM_3EM_MT/Simulado_III: EscoresBrutos_Aluno.xlsx, MedidasTCM_Item.xlsx, mDificNRDF.xlsx, mDiscNRDF.xlsx e mcpBisNRDF.xlsx.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ResultadosTRI_3EM_MT/Simulado_III: ResumoTheta, ResumoThetaIC, EstItens, DistriAlunosClasse e BaseRespTheta.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Programas/TCM_3EM_MT_S3.R e Fit_3PL_Fix_3EM_MT_S3.R.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Impressões gerais..odt, com as ressalvas técnicas registradas pela equipe.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Apêndice A. Medidas TCM por item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900"/>
        <w:gridCol w:w="2200"/>
        <w:gridCol w:w="1799"/>
        <w:gridCol w:w="2001"/>
        <w:gridCol w:w="2460"/>
      </w:tblGrid>
      <w:tr>
        <w:trPr>
          <w:tblHeader w:val="true"/>
          <w:cantSplit w:val="true"/>
        </w:trPr>
        <w:tc>
          <w:tcPr>
            <w:tcW w:w="9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Item</w:t>
            </w:r>
          </w:p>
        </w:tc>
        <w:tc>
          <w:tcPr>
            <w:tcW w:w="22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Proporção de acertos</w:t>
            </w:r>
          </w:p>
        </w:tc>
        <w:tc>
          <w:tcPr>
            <w:tcW w:w="17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Discriminação</w:t>
            </w:r>
          </w:p>
        </w:tc>
        <w:tc>
          <w:tcPr>
            <w:tcW w:w="200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Corr. bisserial</w:t>
            </w:r>
          </w:p>
        </w:tc>
        <w:tc>
          <w:tcPr>
            <w:tcW w:w="246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Corr. ponto-bisserial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001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0,488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0,481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0,491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0,391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002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0,320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0,499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0,596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0,456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003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0,383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0,531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0,573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0,450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004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0,414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0,310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0,288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0,228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005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0,423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0,619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0,632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0,501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006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0,122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-0,005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-0,009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-0,006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007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0,249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0,553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0,749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0,549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008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0,254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0,381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0,548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0,404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009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0,356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0,592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0,654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0,509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0,436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0,627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0,635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0,504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011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0,333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0,752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0,849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0,655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012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0,503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0,564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0,564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0,450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013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0,366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0,669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0,735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0,574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014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0,382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0,724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0,770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0,604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015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0,452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0,606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0,603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0,480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016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0,336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0,522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0,604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0,466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017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0,245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0,338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0,484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0,354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018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0,338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0,597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0,672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0,520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019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0,278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0,400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0,533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0,399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0,356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0,328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0,348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0,271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021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0,201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0,250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0,399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0,279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022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0,298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0,409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0,511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0,387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023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0,313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0,530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0,662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0,506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024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0,353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0,483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0,548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0,426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026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0,369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0,621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0,672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0,525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ResultadosTCM_3EM_MT/Simulado_III/MedidasTCM_Item.xlsx.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Apêndice B. Parâmetros TRI por item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900"/>
        <w:gridCol w:w="1299"/>
        <w:gridCol w:w="1300"/>
        <w:gridCol w:w="2500"/>
        <w:gridCol w:w="1401"/>
        <w:gridCol w:w="1959"/>
      </w:tblGrid>
      <w:tr>
        <w:trPr>
          <w:tblHeader w:val="true"/>
          <w:cantSplit w:val="true"/>
        </w:trPr>
        <w:tc>
          <w:tcPr>
            <w:tcW w:w="9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Item</w:t>
            </w:r>
          </w:p>
        </w:tc>
        <w:tc>
          <w:tcPr>
            <w:tcW w:w="12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a</w:t>
            </w:r>
          </w:p>
        </w:tc>
        <w:tc>
          <w:tcPr>
            <w:tcW w:w="13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b</w:t>
            </w:r>
          </w:p>
        </w:tc>
        <w:tc>
          <w:tcPr>
            <w:tcW w:w="25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b (escala 250,50)</w:t>
            </w:r>
          </w:p>
        </w:tc>
        <w:tc>
          <w:tcPr>
            <w:tcW w:w="140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c</w:t>
            </w:r>
          </w:p>
        </w:tc>
        <w:tc>
          <w:tcPr>
            <w:tcW w:w="195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Fixado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001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1,548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2,581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379,0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0,328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002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1,828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2,801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390,0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0,166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003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1,342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2,571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378,5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0,174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004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0,328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2,696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384,8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0,030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005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2,266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2,193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359,7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0,239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007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2,870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2,706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385,3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0,090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008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2,800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3,339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417,0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0,197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009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4,241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2,478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373,9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0,226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010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1,428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2,079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353,9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0,140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011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6,900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2,570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378,5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0,087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012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1,224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1,939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347,0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0,196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013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6,650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2,523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376,2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0,166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014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2,308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2,165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358,3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0,114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015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1,000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1,464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323,2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0,038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016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1,959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2,716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385,8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0,172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017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1,173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3,506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425,3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0,130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018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1,911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2,504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375,2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0,133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019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1,974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3,085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404,2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0,169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020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0,399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3,287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414,3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0,046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021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1,030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4,197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459,9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0,124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022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1,480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3,078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403,9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0,165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023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3,313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2,504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375,2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0,172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024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1,017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2,864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393,2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0,158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026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2,789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2,339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367,0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0,168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ResultadosTRI_3EM_MT/Simulado_III/EstItens_3EM_MT_S3.xlsx.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Apêndice C. Distribuição por faixa de proficiência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4199"/>
        <w:gridCol w:w="2201"/>
        <w:gridCol w:w="2960"/>
      </w:tblGrid>
      <w:tr>
        <w:trPr>
          <w:tblHeader w:val="true"/>
          <w:cantSplit w:val="true"/>
        </w:trPr>
        <w:tc>
          <w:tcPr>
            <w:tcW w:w="41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Faixa</w:t>
            </w:r>
          </w:p>
        </w:tc>
        <w:tc>
          <w:tcPr>
            <w:tcW w:w="220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N de alunos</w:t>
            </w:r>
          </w:p>
        </w:tc>
        <w:tc>
          <w:tcPr>
            <w:tcW w:w="296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Percentual</w:t>
            </w:r>
          </w:p>
        </w:tc>
      </w:tr>
      <w:tr>
        <w:trPr>
          <w:cantSplit w:val="true"/>
        </w:trPr>
        <w:tc>
          <w:tcPr>
            <w:tcW w:w="4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[0,25)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29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</w:tr>
      <w:tr>
        <w:trPr>
          <w:cantSplit w:val="true"/>
        </w:trPr>
        <w:tc>
          <w:tcPr>
            <w:tcW w:w="4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[25,50)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29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</w:tr>
      <w:tr>
        <w:trPr>
          <w:cantSplit w:val="true"/>
        </w:trPr>
        <w:tc>
          <w:tcPr>
            <w:tcW w:w="4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[50,100)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29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</w:tr>
      <w:tr>
        <w:trPr>
          <w:cantSplit w:val="true"/>
        </w:trPr>
        <w:tc>
          <w:tcPr>
            <w:tcW w:w="4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[100,125)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29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</w:tr>
      <w:tr>
        <w:trPr>
          <w:cantSplit w:val="true"/>
        </w:trPr>
        <w:tc>
          <w:tcPr>
            <w:tcW w:w="4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[125,150)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29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</w:tr>
      <w:tr>
        <w:trPr>
          <w:cantSplit w:val="true"/>
        </w:trPr>
        <w:tc>
          <w:tcPr>
            <w:tcW w:w="4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[150,175)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29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</w:tr>
      <w:tr>
        <w:trPr>
          <w:cantSplit w:val="true"/>
        </w:trPr>
        <w:tc>
          <w:tcPr>
            <w:tcW w:w="4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[175,200)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29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</w:tr>
      <w:tr>
        <w:trPr>
          <w:cantSplit w:val="true"/>
        </w:trPr>
        <w:tc>
          <w:tcPr>
            <w:tcW w:w="4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[200,225)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29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</w:tr>
      <w:tr>
        <w:trPr>
          <w:cantSplit w:val="true"/>
        </w:trPr>
        <w:tc>
          <w:tcPr>
            <w:tcW w:w="4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[225,250)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1.333</w:t>
            </w:r>
          </w:p>
        </w:tc>
        <w:tc>
          <w:tcPr>
            <w:tcW w:w="29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4,479%</w:t>
            </w:r>
          </w:p>
        </w:tc>
      </w:tr>
      <w:tr>
        <w:trPr>
          <w:cantSplit w:val="true"/>
        </w:trPr>
        <w:tc>
          <w:tcPr>
            <w:tcW w:w="4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[250,275)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6.452</w:t>
            </w:r>
          </w:p>
        </w:tc>
        <w:tc>
          <w:tcPr>
            <w:tcW w:w="29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21,680%</w:t>
            </w:r>
          </w:p>
        </w:tc>
      </w:tr>
      <w:tr>
        <w:trPr>
          <w:cantSplit w:val="true"/>
        </w:trPr>
        <w:tc>
          <w:tcPr>
            <w:tcW w:w="4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[275,300)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6.295</w:t>
            </w:r>
          </w:p>
        </w:tc>
        <w:tc>
          <w:tcPr>
            <w:tcW w:w="29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21,153%</w:t>
            </w:r>
          </w:p>
        </w:tc>
      </w:tr>
      <w:tr>
        <w:trPr>
          <w:cantSplit w:val="true"/>
        </w:trPr>
        <w:tc>
          <w:tcPr>
            <w:tcW w:w="4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[300,325)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4.385</w:t>
            </w:r>
          </w:p>
        </w:tc>
        <w:tc>
          <w:tcPr>
            <w:tcW w:w="29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14,735%</w:t>
            </w:r>
          </w:p>
        </w:tc>
      </w:tr>
      <w:tr>
        <w:trPr>
          <w:cantSplit w:val="true"/>
        </w:trPr>
        <w:tc>
          <w:tcPr>
            <w:tcW w:w="4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[325,350)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2.650</w:t>
            </w:r>
          </w:p>
        </w:tc>
        <w:tc>
          <w:tcPr>
            <w:tcW w:w="29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8,905%</w:t>
            </w:r>
          </w:p>
        </w:tc>
      </w:tr>
      <w:tr>
        <w:trPr>
          <w:cantSplit w:val="true"/>
        </w:trPr>
        <w:tc>
          <w:tcPr>
            <w:tcW w:w="4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[350,1e+03)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8.645</w:t>
            </w:r>
          </w:p>
        </w:tc>
        <w:tc>
          <w:tcPr>
            <w:tcW w:w="29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29,049%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DistriAlunosClasseMT3serie_S3.xlsx.</w:t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color w:val="5F6B76"/>
        <w:sz w:val="18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color w:val="5F6B76"/>
        <w:sz w:val="18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left"/>
      <w:rPr/>
    </w:pPr>
    <w:r>
      <w:rPr>
        <w:b/>
        <w:color w:val="5F6B76"/>
        <w:sz w:val="17"/>
      </w:rPr>
      <w:t>PIAUÍ 2026 | SIMULADO III | 3EM-MT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left"/>
      <w:rPr/>
    </w:pPr>
    <w:r>
      <w:rPr>
        <w:b/>
        <w:color w:val="5F6B76"/>
        <w:sz w:val="17"/>
      </w:rPr>
      <w:t>PIAUÍ 2026 | SIMULADO III | 3EM-MT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64" w:before="0" w:after="12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20" w:after="16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60" w:after="8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lineRule="auto" w:line="281" w:before="0" w:after="160"/>
      <w:ind w:hanging="360" w:left="72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lineRule="auto" w:line="281" w:before="0" w:after="160"/>
      <w:ind w:hanging="360" w:left="72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LibreOffice/25.2.7.2$Windows_X86_64 LibreOffice_project/5cbfd1ab6520636bb5f7b99185aa69bd7456825d</Application>
  <AppVersion>15.0000</AppVersion>
  <Pages>8</Pages>
  <Words>1209</Words>
  <Characters>6793</Characters>
  <CharactersWithSpaces>7528</CharactersWithSpaces>
  <Paragraphs>469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2026-07-21T11:03:25Z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