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jc w:val="center"/>
        <w:rPr/>
      </w:pPr>
      <w:r>
        <w:rPr>
          <w:b/>
          <w:color w:val="2E74B5"/>
          <w:sz w:val="22"/>
        </w:rPr>
        <w:t>RELATÓRIO TÉCNICO</w:t>
      </w:r>
    </w:p>
    <w:p>
      <w:pPr>
        <w:pStyle w:val="Normal"/>
        <w:spacing w:before="0" w:after="120"/>
        <w:jc w:val="center"/>
        <w:rPr/>
      </w:pPr>
      <w:r>
        <w:rPr>
          <w:b/>
          <w:color w:val="203748"/>
          <w:sz w:val="60"/>
        </w:rPr>
        <w:t>Análises TCM e TRI</w:t>
      </w:r>
    </w:p>
    <w:p>
      <w:pPr>
        <w:pStyle w:val="Normal"/>
        <w:spacing w:before="0" w:after="560"/>
        <w:jc w:val="center"/>
        <w:rPr/>
      </w:pPr>
      <w:r>
        <w:rPr>
          <w:color w:val="1F4D78"/>
          <w:sz w:val="30"/>
        </w:rPr>
        <w:t>3ª série do Ensino Médio – Língua Portuguesa</w:t>
      </w:r>
    </w:p>
    <w:p>
      <w:pPr>
        <w:pStyle w:val="Normal"/>
        <w:spacing w:before="0" w:after="680"/>
        <w:jc w:val="center"/>
        <w:rPr/>
      </w:pPr>
      <w:r>
        <w:rPr>
          <w:b/>
          <w:color w:val="5F6B76"/>
          <w:sz w:val="22"/>
        </w:rPr>
        <w:t>Simulados I e II | Piauí, 2026</w:t>
      </w:r>
    </w:p>
    <w:p>
      <w:pPr>
        <w:pStyle w:val="Normal"/>
        <w:spacing w:before="0" w:after="840"/>
        <w:jc w:val="center"/>
        <w:rPr/>
      </w:pPr>
      <w:r>
        <w:rPr>
          <w:i/>
          <w:color w:val="5F6B76"/>
          <w:sz w:val="21"/>
        </w:rPr>
        <w:t>Documento-base metodológico: Relatório 3EM-MT 2025</w:t>
      </w:r>
    </w:p>
    <w:p>
      <w:pPr>
        <w:pStyle w:val="Normal"/>
        <w:jc w:val="center"/>
        <w:rPr/>
      </w:pPr>
      <w:r>
        <w:rPr>
          <w:color w:val="5F6B76"/>
          <w:sz w:val="20"/>
        </w:rPr>
        <w:t>20 de junho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Síntese executiva</w:t>
      </w:r>
    </w:p>
    <w:p>
      <w:pPr>
        <w:pStyle w:val="Normal"/>
        <w:pBdr>
          <w:left w:val="single" w:sz="18" w:space="8" w:color="2E74B5"/>
        </w:pBdr>
        <w:shd w:fill="EDF4FB"/>
        <w:spacing w:before="80" w:after="200"/>
        <w:rPr/>
      </w:pPr>
      <w:r>
        <w:rPr>
          <w:b/>
          <w:color w:val="203748"/>
          <w:sz w:val="21"/>
        </w:rPr>
        <w:t>Leitura principal. O Simulado I apresentou um item com funcionamento fraco (item 1), mas manteve os 26 itens na TRI. No Simulado II, os itens 8, 12 e 20 tiveram discriminação e correlação ponto-bisserial abaixo de 0,20, com sinais de conflito de gabarito; os três foram excluídos da calibração TRI.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99"/>
        <w:gridCol w:w="1300"/>
        <w:gridCol w:w="1350"/>
        <w:gridCol w:w="1150"/>
        <w:gridCol w:w="1900"/>
        <w:gridCol w:w="13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TCM / TRI</w:t>
            </w:r>
          </w:p>
        </w:tc>
        <w:tc>
          <w:tcPr>
            <w:tcW w:w="13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Escore médio</w:t>
            </w:r>
          </w:p>
        </w:tc>
        <w:tc>
          <w:tcPr>
            <w:tcW w:w="11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do total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13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Exclusão TRI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28.416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 / 26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11,78 / 26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45,3%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256,7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Nenhum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28.670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 / 23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13,67 / 26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52,6%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252,3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8, 12, 20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ResumoEscores, ResumoTheta, EscoresBrutos_Aluno e EstItens da 3EM-LP.</w:t>
      </w:r>
    </w:p>
    <w:p>
      <w:pPr>
        <w:pStyle w:val="Normal"/>
        <w:rPr/>
      </w:pPr>
      <w:r>
        <w:rPr/>
        <w:t>A diferença descritiva entre as médias foi de 1,89 ponto no escore bruto e -4,5 pontos na escala de proficiência. Esses valores não devem ser interpretados isoladamente como crescimento longitudinal: as bases têm tamanhos distintos e o relatório não estabelece que os estudantes, a cobertura curricular e as condições de aplicação sejam equivalentes.</w:t>
      </w:r>
    </w:p>
    <w:p>
      <w:pPr>
        <w:pStyle w:val="Heading1"/>
        <w:rPr/>
      </w:pPr>
      <w:r>
        <w:rPr/>
        <w:t>2. Introdução e abordagem analítica</w:t>
      </w:r>
    </w:p>
    <w:p>
      <w:pPr>
        <w:pStyle w:val="Normal"/>
        <w:rPr/>
      </w:pPr>
      <w:r>
        <w:rPr/>
        <w:t>Foram analisadas as respostas dos estudantes avaliados em Língua Portuguesa na 3ª série do Ensino Médio. A primeira aplicação reuniu 28.416 registros e a segunda, 28.670. Em cada simulado, a TCM considerou os 26 itens apresentados. A TRI utilizou um modelo logístico de três parâmetros (3PL), com itens conhecidos fixados para posicionamento na escala SAEB e 26 itens no Simulado I e 23 no Simulado II.</w:t>
      </w:r>
    </w:p>
    <w:p>
      <w:pPr>
        <w:pStyle w:val="Normal"/>
        <w:rPr/>
      </w:pPr>
      <w:r>
        <w:rPr/>
        <w:t>A organização deste documento preserva a linha do Relatório Técnico 3EM-MT de 2025: a TCM é usada de forma descritiva para examinar escores, proporção de acertos, discriminação e funcionamento das alternativas; a TRI é usada para equalização, estimação dos parâmetros dos itens e descrição da proficiência na escala transformada. A ampliação para dois simulados exige, contudo, que os contrastes entre aplicações sejam apresentados com cautela.</w:t>
      </w:r>
    </w:p>
    <w:p>
      <w:pPr>
        <w:pStyle w:val="Heading2"/>
        <w:rPr/>
      </w:pPr>
      <w:r>
        <w:rPr/>
        <w:t>Teoria Clássica de Medidas</w:t>
      </w:r>
    </w:p>
    <w:p>
      <w:pPr>
        <w:pStyle w:val="Normal"/>
        <w:rPr/>
      </w:pPr>
      <w:r>
        <w:rPr/>
        <w:t>Na TCM, o desempenho é sintetizado pelo escore bruto e por estatísticas calculadas diretamente das respostas observadas. A proporção de acertos descreve a dificuldade empírica do item; o índice de discriminação e as correlações bisserial e ponto-bisserial informam em que medida o item separa estudantes de maior e menor desempenho. A leitura por alternativa permite detectar distratores positivamente associados ao escore e possíveis conflitos de gabarito [1, 2].</w:t>
      </w:r>
    </w:p>
    <w:p>
      <w:pPr>
        <w:pStyle w:val="Heading2"/>
        <w:rPr/>
      </w:pPr>
      <w:r>
        <w:rPr/>
        <w:t>Modelo TRI e equalização</w:t>
      </w:r>
    </w:p>
    <w:p>
      <w:pPr>
        <w:pStyle w:val="Normal"/>
        <w:rPr/>
      </w:pPr>
      <w:r>
        <w:rPr/>
        <w:t>Foi ajustado o modelo logístico de três parâmetros para um único grupo (3PL). A estimação dos itens empregou distribuições a priori e o algoritmo EM; os traços latentes individuais foram estimados pelo método da esperança a posteriori (EAP) [3–5].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color w:val="203748"/>
          <w:sz w:val="22"/>
        </w:rPr>
        <w:t>Yᵢⱼ | θⱼ, ζᵢ  ~  Bernoulli(pᵢⱼ)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color w:val="203748"/>
          <w:sz w:val="22"/>
        </w:rPr>
        <w:t>pᵢⱼ = cᵢ + (1 - cᵢ) / {1 + exp[-aᵢ(θⱼ - bᵢ)]}</w:t>
      </w:r>
    </w:p>
    <w:p>
      <w:pPr>
        <w:pStyle w:val="Normal"/>
        <w:rPr/>
      </w:pPr>
      <w:r>
        <w:rPr/>
        <w:t>Nesse modelo, aᵢ representa a discriminação, bᵢ a dificuldade, cᵢ a probabilidade de acerto casual e θⱼ a proficiência do estudante. Os itens previamente calibrados foram fixados durante a estimação. Ao final, as proficiências e as dificuldades foram expressas na escala de referência com transformação 250 + 50θ.</w:t>
      </w:r>
    </w:p>
    <w:p>
      <w:pPr>
        <w:pStyle w:val="Heading2"/>
        <w:rPr/>
      </w:pPr>
      <w:r>
        <w:rPr/>
        <w:t>Convenções de leitura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Na TCM, a coluna denominada “dificuldade” corresponde à proporção de acertos: valores menores indicam itens mais difíceis.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Itens com discriminação ou correlação ponto-bisserial abaixo de 0,20 foram tratados como sinais de alerta, em consonância com as linhas de referência utilizadas nos scripts.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Na TRI, a proficiência individual foi estimada por EAP e transformada para a escala com centro 250 e desvio 50; os resumos apresentados descrevem a distribuição das estimativas individuais.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Parâmetros extremos e estatísticas de ajuste devem ser interpretados em conjunto com o conteúdo do item, o gabarito e as curvas características, não como critérios automáticos de descarte.</w:t>
      </w:r>
    </w:p>
    <w:p>
      <w:pPr>
        <w:pStyle w:val="Heading1"/>
        <w:rPr/>
      </w:pPr>
      <w:r>
        <w:rPr/>
        <w:t>3. Resultados da TCM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449"/>
        <w:gridCol w:w="1100"/>
        <w:gridCol w:w="1001"/>
        <w:gridCol w:w="1100"/>
        <w:gridCol w:w="1500"/>
        <w:gridCol w:w="1649"/>
        <w:gridCol w:w="1560"/>
      </w:tblGrid>
      <w:tr>
        <w:trPr>
          <w:tblHeader w:val="true"/>
          <w:cantSplit w:val="true"/>
        </w:trPr>
        <w:tc>
          <w:tcPr>
            <w:tcW w:w="14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1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</w:t>
            </w:r>
          </w:p>
        </w:tc>
        <w:tc>
          <w:tcPr>
            <w:tcW w:w="1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média</w:t>
            </w:r>
          </w:p>
        </w:tc>
        <w:tc>
          <w:tcPr>
            <w:tcW w:w="16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0,20–0,40</w:t>
            </w:r>
          </w:p>
        </w:tc>
        <w:tc>
          <w:tcPr>
            <w:tcW w:w="15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≥0,40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11,78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5,65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0,453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13,67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5,21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0,526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ResumoEscores e MedidasTCM_Item.</w:t>
      </w:r>
    </w:p>
    <w:p>
      <w:pPr>
        <w:pStyle w:val="Normal"/>
        <w:rPr/>
      </w:pPr>
      <w:r>
        <w:rPr/>
        <w:t>A maior parte dos itens apresentou proporção de acertos a partir de 0,40: 18 itens no Simulado I e 21 no Simulado II. A proporção de acertos alcançou pelo menos 0,60 em 3 itens do Simulado I e 9 do Simulado II. Apesar do perfil global menos difícil, o Simulado II reuniu dois itens abaixo de 0,20 de acerto e três itens com funcionamento discriminativo fraco.</w:t>
      </w:r>
    </w:p>
    <w:p>
      <w:pPr>
        <w:pStyle w:val="Normal"/>
        <w:rPr/>
      </w:pPr>
      <w:r>
        <w:rPr/>
        <w:drawing>
          <wp:inline distT="0" distB="0" distL="0" distR="0">
            <wp:extent cx="5806440" cy="3806190"/>
            <wp:effectExtent l="0" t="0" r="0" b="0"/>
            <wp:docPr id="1" name="Picture 1" descr="Quatro gráficos de barras mostram a proporção de acertos e a discriminação dos 26 itens nos Simulados I e II. Os itens de atenção aparecem destacados em vermelho.&#10;Quatro gráficos de barras mostram a proporção de acertos e a discriminação dos 26 itens nos Simulados I e II. Os itens de atenção aparecem destacados em vermel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atro gráficos de barras mostram a proporção de acertos e a discriminação dos 26 itens nos Simulados I e II. Os itens de atenção aparecem destacados em vermelho.&#10;Quatro gráficos de barras mostram a proporção de acertos e a discriminação dos 26 itens nos Simulados I e II. Os itens de atenção aparecem destacados em vermelh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>
          <w:i/>
          <w:color w:val="5F6B76"/>
          <w:sz w:val="18"/>
        </w:rPr>
        <w:t>Figura 1. Proporção de acertos e discriminação por item. Itens de atenção destacados em vermelho.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MedidasTCM_Item, Simulados I e II.</w:t>
      </w:r>
    </w:p>
    <w:p>
      <w:pPr>
        <w:pStyle w:val="Heading2"/>
        <w:rPr/>
      </w:pPr>
      <w:r>
        <w:rPr/>
        <w:t>Itens com comportamento atípico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249"/>
        <w:gridCol w:w="700"/>
        <w:gridCol w:w="1450"/>
        <w:gridCol w:w="1300"/>
        <w:gridCol w:w="1650"/>
        <w:gridCol w:w="3010"/>
      </w:tblGrid>
      <w:tr>
        <w:trPr>
          <w:tblHeader w:val="true"/>
          <w:cantSplit w:val="true"/>
        </w:trPr>
        <w:tc>
          <w:tcPr>
            <w:tcW w:w="12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4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de acertos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16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  <w:tc>
          <w:tcPr>
            <w:tcW w:w="301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Encaminhamento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0,154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0,131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Mantido na TRI; revisar funcionamento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-0,047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-0,049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Excluído da TRI; revisar gabarito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0,084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0,099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Excluído da TRI; revisar gabarito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0,026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Excluído da TRI; revisar gabarito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 e Impressões gerais sobre os resultados.</w:t>
      </w:r>
    </w:p>
    <w:p>
      <w:pPr>
        <w:pStyle w:val="Normal"/>
        <w:rPr/>
      </w:pPr>
      <w:r>
        <w:rPr/>
        <w:t>O item 1 do Simulado I teve discriminação 0,154 e ponto-bisserial 0,131, justificando revisão, embora tenha permanecido na TRI. No Simulado II, os itens 8, 12 e 20 apresentaram discriminação baixa ou negativa e foram retirados da calibração TRI.</w:t>
      </w:r>
    </w:p>
    <w:p>
      <w:pPr>
        <w:pStyle w:val="Heading2"/>
        <w:rPr/>
      </w:pPr>
      <w:r>
        <w:rPr/>
        <w:t>Diagnóstico das alternativas no 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800"/>
        <w:gridCol w:w="1149"/>
        <w:gridCol w:w="1400"/>
        <w:gridCol w:w="1700"/>
        <w:gridCol w:w="1900"/>
        <w:gridCol w:w="2410"/>
      </w:tblGrid>
      <w:tr>
        <w:trPr>
          <w:tblHeader w:val="true"/>
          <w:cantSplit w:val="true"/>
        </w:trPr>
        <w:tc>
          <w:tcPr>
            <w:tcW w:w="8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1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Alternativa</w:t>
            </w:r>
          </w:p>
        </w:tc>
        <w:tc>
          <w:tcPr>
            <w:tcW w:w="14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escolha</w:t>
            </w:r>
          </w:p>
        </w:tc>
        <w:tc>
          <w:tcPr>
            <w:tcW w:w="1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Ponto-bisserial</w:t>
            </w:r>
          </w:p>
        </w:tc>
        <w:tc>
          <w:tcPr>
            <w:tcW w:w="241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Papel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5,2%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-0,122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-0,221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11,9%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-0,047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-0,049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Gabarito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6,0%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-0,149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-0,255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18,0%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-0,117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-0,115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58,4%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0,362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16,4%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0,084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0,099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Gabarito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18,4%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0,014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0,013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9,8%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-0,139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-0,193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21,1%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-0,001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-0,001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33,8%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0,055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0,051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21,1%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0,026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Gabarito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47,1%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0,352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0,280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6,0%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-0,119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-0,208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18,4%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-0,115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-0,111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1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7,0%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-0,131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-0,210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mDificNRDF, mDiscNRDF e mcpBisNRDF, Simulado II.</w:t>
      </w:r>
    </w:p>
    <w:p>
      <w:pPr>
        <w:pStyle w:val="Normal"/>
        <w:rPr/>
      </w:pPr>
      <w:r>
        <w:rPr/>
        <w:t>No item 8, o gabarito B reuniu 11,9% das escolhas e ponto-bisserial -0,049, enquanto o distrator E reuniu 58,4% e ponto-bisserial 0,362. No item 20, o gabarito A reuniu 21,1% e ponto-bisserial 0,034, contra 47,1% e 0,280 para o distrator B. No item 12, o gabarito A teve 16,4% das escolhas e ponto-bisserial 0,099; a alternativa E foi a mais escolhida, com 33,8%, embora também tenha apresentado associação fraca com o desempenho.</w:t>
      </w:r>
    </w:p>
    <w:p>
      <w:pPr>
        <w:pStyle w:val="Normal"/>
        <w:pBdr>
          <w:left w:val="single" w:sz="18" w:space="8" w:color="B3261E"/>
        </w:pBdr>
        <w:shd w:fill="FDE9E7"/>
        <w:rPr/>
      </w:pPr>
      <w:r>
        <w:rPr>
          <w:color w:val="6B1D16"/>
          <w:sz w:val="21"/>
        </w:rPr>
        <w:t>O padrão dos itens 8 e 20 é fortemente compatível com conflito de gabarito, pois uma alternativa não oficial concentrou mais respostas e discriminou melhor. O item 12 também requer revisão, mas seu padrão é menos conclusivo e pode envolver ambiguidade, conteúdo ou funcionamento geral fraco.</w:t>
      </w:r>
    </w:p>
    <w:p>
      <w:pPr>
        <w:pStyle w:val="Heading1"/>
        <w:rPr/>
      </w:pPr>
      <w:r>
        <w:rPr/>
        <w:t>4. Resultados da TRI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50"/>
        <w:gridCol w:w="1699"/>
        <w:gridCol w:w="1000"/>
        <w:gridCol w:w="1050"/>
        <w:gridCol w:w="1900"/>
        <w:gridCol w:w="14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IC 95% da média</w:t>
            </w:r>
          </w:p>
        </w:tc>
        <w:tc>
          <w:tcPr>
            <w:tcW w:w="10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 EAP</w:t>
            </w:r>
          </w:p>
        </w:tc>
        <w:tc>
          <w:tcPr>
            <w:tcW w:w="10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Intervalo interquartil</w:t>
            </w:r>
          </w:p>
        </w:tc>
        <w:tc>
          <w:tcPr>
            <w:tcW w:w="1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fixados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256,7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255,0 a 258,5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96,7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258,5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173,0 a 333,4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252,3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250,5 a 254,0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76,3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259,4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197,9 a 310,3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ResumoTheta e ResumoThetaIC.</w:t>
      </w:r>
    </w:p>
    <w:p>
      <w:pPr>
        <w:pStyle w:val="Normal"/>
        <w:rPr/>
      </w:pPr>
      <w:r>
        <w:rPr/>
        <w:drawing>
          <wp:inline distT="0" distB="0" distL="0" distR="0">
            <wp:extent cx="5806440" cy="2580640"/>
            <wp:effectExtent l="0" t="0" r="0" b="0"/>
            <wp:docPr id="2" name="Picture 2" descr="Gráfico de barras agrupadas compara os percentuais de estudantes dos Simulados I e II em oito faixas de proficiência, de 175 a 350 pontos ou mais.&#10;Gráfico de barras agrupadas compara os percentuais de estudantes dos Simulados I e II em oito faixas de proficiência, de 175 a 350 pontos ou m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 de barras agrupadas compara os percentuais de estudantes dos Simulados I e II em oito faixas de proficiência, de 175 a 350 pontos ou mais.&#10;Gráfico de barras agrupadas compara os percentuais de estudantes dos Simulados I e II em oito faixas de proficiência, de 175 a 350 pontos ou mai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>
          <w:i/>
          <w:color w:val="5F6B76"/>
          <w:sz w:val="18"/>
        </w:rPr>
        <w:t>Figura 2. Distribuição percentual dos estudantes por faixa de proficiência.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DistriAlunosClasseLP3serie, Simulados I e II.</w:t>
      </w:r>
    </w:p>
    <w:p>
      <w:pPr>
        <w:pStyle w:val="Normal"/>
        <w:rPr/>
      </w:pPr>
      <w:r>
        <w:rPr/>
        <w:t>No Simulado I, a proficiência média foi 256,7, com mediana 258,5 e assimetria positiva (0,10). No Simulado II, a média foi 252,3, a mediana 259,4 e a assimetria foi -0,24. A proporção na faixa de 350 pontos ou mais foi 19,4% na primeira aplicação e 9,4% na segunda.</w:t>
      </w:r>
    </w:p>
    <w:p>
      <w:pPr>
        <w:pStyle w:val="Heading2"/>
        <w:rPr/>
      </w:pPr>
      <w:r>
        <w:rPr/>
        <w:t>Parâmetros dos itens</w:t>
      </w:r>
    </w:p>
    <w:p>
      <w:pPr>
        <w:pStyle w:val="Normal"/>
        <w:rPr/>
      </w:pPr>
      <w:r>
        <w:rPr/>
        <w:t>Simulado I: 5 itens com bSAEB acima de 400, 6 com a abaixo de 0,60 e 1 com c acima de 0,25; Simulado II: 2 itens com bSAEB acima de 400, 3 com a abaixo de 0,60 e 0 com c acima de 0,25. Esses valores são sinais diagnósticos e devem ser conferidos em conjunto com erros-padrão, ajuste e curvas do item.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449"/>
        <w:gridCol w:w="2300"/>
        <w:gridCol w:w="5611"/>
      </w:tblGrid>
      <w:tr>
        <w:trPr>
          <w:tblHeader w:val="true"/>
          <w:cantSplit w:val="true"/>
        </w:trPr>
        <w:tc>
          <w:tcPr>
            <w:tcW w:w="14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2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Sinal para revisão</w:t>
            </w:r>
          </w:p>
        </w:tc>
        <w:tc>
          <w:tcPr>
            <w:tcW w:w="561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1, 3, 6, 17, 19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3, 4, 6, 7, 10, 22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 &gt; 0,25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19, 22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7, 22, 23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EstItens_3EM_LP. Os pontos de corte são diagnósticos e não implicam exclusão automática.</w:t>
      </w:r>
    </w:p>
    <w:p>
      <w:pPr>
        <w:pStyle w:val="Heading1"/>
        <w:rPr/>
      </w:pPr>
      <w:r>
        <w:rPr/>
        <w:t>5. Leitura comparativa entre as aplicações</w:t>
      </w:r>
    </w:p>
    <w:p>
      <w:pPr>
        <w:pStyle w:val="Normal"/>
        <w:rPr/>
      </w:pPr>
      <w:r>
        <w:rPr/>
        <w:t>O Simulado II apresentou escore bruto médio e proporção de acertos superiores, mas a proficiência média TRI foi ligeiramente inferior à do Simulado I. Também houve menor dispersão das proficiências e redução da proporção de estudantes na faixa de 350 pontos ou mais. A divergência entre escore bruto e escala equalizada reforça que as formas têm dificuldades e composições distintas; além disso, três itens do Simulado II foram retirados da TRI. O contraste deve, portanto, permanecer descritivo e não ser interpretado isoladamente como evolução ou queda de aprendizagem.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700"/>
        <w:gridCol w:w="1849"/>
        <w:gridCol w:w="1851"/>
        <w:gridCol w:w="2959"/>
      </w:tblGrid>
      <w:tr>
        <w:trPr>
          <w:tblHeader w:val="true"/>
          <w:cantSplit w:val="true"/>
        </w:trPr>
        <w:tc>
          <w:tcPr>
            <w:tcW w:w="2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18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18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Diferença descritiva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 de estudantes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28.416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28.670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+254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Escore bruto médio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11,78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13,67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+1,89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Proporção média de acertos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0,453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0,526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+0,073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256,7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252,3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+-4,5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DP das proficiências EAP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96,7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76,3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-20,4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Estudantes com 350+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19,4%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9,4%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+-10,0 p.p.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 TCM e TRI da 3EM-LP. Diferenças sem ajuste por composição ou pareamento.</w:t>
      </w:r>
    </w:p>
    <w:p>
      <w:pPr>
        <w:pStyle w:val="Heading1"/>
        <w:rPr/>
      </w:pPr>
      <w:r>
        <w:rPr/>
        <w:t>6. Recomendações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Revisar formalmente os gabaritos e o conteúdo dos itens 8, 12 e 20 do Simulado II, documentando a decisão final antes de qualquer reutilização.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Revisar também o item 1 do Simulado I, que permaneceu na TRI, mas apresentou discriminação e correlação ponto-bisserial abaixo de 0,20.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Examinar os distratores por grupo de escore, especialmente E no item 8 e B no item 20, para confirmar se a alternativa não oficial foi progressivamente mais escolhida pelos estudantes de maior desempenho.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Realizar leitura de ajuste TRI item a item, combinando infit/outfit, testes X²/G²/PV-Q1, curvas características e erros-padrão antes de aprovar itens com parâmetros extremos.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Para comparar os simulados como medida de evolução, estabelecer base pareada de estudantes ou aplicar ponderação/controle de composição, além de confirmar a estabilidade dos itens de ligação.</w:t>
      </w:r>
    </w:p>
    <w:p>
      <w:pPr>
        <w:pStyle w:val="Heading1"/>
        <w:rPr/>
      </w:pPr>
      <w:r>
        <w:rPr/>
        <w:t>7. Referências e arquivos-fonte</w:t>
      </w:r>
    </w:p>
    <w:p>
      <w:pPr>
        <w:pStyle w:val="Normal"/>
        <w:rPr/>
      </w:pPr>
      <w:r>
        <w:rPr/>
        <w:t>[1] Primi, R. (2012). Psicometria: fundamentos matemáticos da Teoria Clássica dos Testes. Avaliação Psicológica, 11, 297–307.</w:t>
      </w:r>
    </w:p>
    <w:p>
      <w:pPr>
        <w:pStyle w:val="Normal"/>
        <w:rPr/>
      </w:pPr>
      <w:r>
        <w:rPr/>
        <w:t>[2] Wu, M.; Tam, H. P.; Jen, T.-H. (2017). Educational Measurement for Applied Researchers: Theory into Practice. Springer.</w:t>
      </w:r>
    </w:p>
    <w:p>
      <w:pPr>
        <w:pStyle w:val="Normal"/>
        <w:rPr/>
      </w:pPr>
      <w:r>
        <w:rPr/>
        <w:t>[3] Andrade, D. F.; Tavares, H. R.; Valle, R. C. (2000). Teoria da Resposta ao Item: conceitos e aplicações. ABE.</w:t>
      </w:r>
    </w:p>
    <w:p>
      <w:pPr>
        <w:pStyle w:val="Normal"/>
        <w:rPr/>
      </w:pPr>
      <w:r>
        <w:rPr/>
        <w:t>[4] Baker, F. B.; Kim, S.-H. (2004). Item Response Theory: Parameter Estimation Techniques. 2. ed. Marcel Dekker.</w:t>
      </w:r>
    </w:p>
    <w:p>
      <w:pPr>
        <w:pStyle w:val="Normal"/>
        <w:rPr/>
      </w:pPr>
      <w:r>
        <w:rPr/>
        <w:t>[5] Azevedo, C. L. N. (2003). Métodos de estimação na Teoria da Resposta ao Item. Dissertação de Mestrado, IME-USP.</w:t>
      </w:r>
    </w:p>
    <w:p>
      <w:pPr>
        <w:pStyle w:val="Normal"/>
        <w:rPr/>
      </w:pPr>
      <w:r>
        <w:rPr/>
        <w:t>[6] R Core Team (2020). R: A Language and Environment for Statistical Computing. R Foundation for Statistical Computing.</w:t>
      </w:r>
    </w:p>
    <w:p>
      <w:pPr>
        <w:pStyle w:val="Normal"/>
        <w:rPr/>
      </w:pPr>
      <w:r>
        <w:rPr/>
        <w:t>[7] Relatório Técnico 3EM-MT 2025. Avaliação Diagnóstica em Matemática - 3ª Série EM - Piauí.</w:t>
      </w:r>
    </w:p>
    <w:p>
      <w:pPr>
        <w:pStyle w:val="Heading2"/>
        <w:rPr/>
      </w:pPr>
      <w:r>
        <w:rPr/>
        <w:t>Arquivos de resultados utilizados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ResultadosTCM_3EM_LP/Simulado_I e Simulado_II: ResumoEscores.xlsx, MedidasTCM_Item.xlsx, PropAcertosGrupo.xlsx e PropEscolhaAlternativaGrupo.xlsx.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ResultadosTRI_3EM_LP/Simulado_I e Simulado_II: ResumoTheta, ResumoThetaIC, EstItens, DistriAlunosClasse e BaseRespTheta.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Programas/TCM_3EM_LP_S1.R, TCM_3EM_LP_S2.R, Fit_3PL_Fix_3EM_LP_S1.R e Fit_3PL_Fix_3EM_LP_S2.R.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Impressões gerais..odt, com as ressalvas técnicas registradas pela equipe.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A. Medidas TCM por item</w:t>
      </w:r>
    </w:p>
    <w:p>
      <w:pPr>
        <w:pStyle w:val="Heading2"/>
        <w:rPr/>
      </w:pPr>
      <w:r>
        <w:rPr/>
        <w:t>Simulado 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0,690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0,743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0,690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0,694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0,740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0,757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0,409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ResultadosTCM_3EM_LP/Simulado_I/MedidasTCM_Item.xlsx.</w:t>
      </w:r>
    </w:p>
    <w:p>
      <w:pPr>
        <w:pStyle w:val="Heading2"/>
        <w:spacing w:before="0" w:after="120"/>
        <w:rPr/>
      </w:pPr>
      <w:r>
        <w:rPr/>
        <w:t>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0,721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0,813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0,785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0,745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0,771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0,737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0,797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0,835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0,834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-0,047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-0,080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-0,049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0,786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0,810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0,728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0,662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0,703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0,796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0,699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0,829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0,484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ResultadosTCM_3EM_LP/Simulado_II/MedidasTCM_Item.xlsx.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B. Parâmetros TRI por item</w:t>
      </w:r>
    </w:p>
    <w:p>
      <w:pPr>
        <w:pStyle w:val="Heading2"/>
        <w:rPr/>
      </w:pPr>
      <w:r>
        <w:rPr/>
        <w:t>Simulado 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1,741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4,326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466,3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0,892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1,358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317,9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3,473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423,6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2,607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380,3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0,851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1,457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322,9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4,188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459,4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282,1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2,043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352,2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1,029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-0,546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222,7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257,9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0,012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0,950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269,6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0,968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1,192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309,6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1,046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-0,507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224,6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1,565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328,3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0,794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256,3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378,4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0,200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3,317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415,9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1,260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244,5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0,207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0,745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3,090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404,5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1,526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326,3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1,232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311,6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1,766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338,3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1,007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1,682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334,1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1,795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339,8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0,772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-0,612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219,4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2,084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354,2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ResultadosTRI_3EM_LP/Simulado_I/EstItens_3EM_LP_S1.xlsx.</w:t>
      </w:r>
    </w:p>
    <w:p>
      <w:pPr>
        <w:pStyle w:val="Heading2"/>
        <w:spacing w:before="0" w:after="120"/>
        <w:rPr/>
      </w:pPr>
      <w:r>
        <w:rPr/>
        <w:t>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0,837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-1,413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179,4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1,196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-1,887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155,7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0,836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280,4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1,771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252,6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1,323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-1,077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196,1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1,435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-1,947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152,6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1,411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320,6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1,351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-1,441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178,0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0,831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270,8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0,844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1,667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333,3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0,785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0,993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299,7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1,318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251,3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1,234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-0,159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242,0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1,091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267,8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0,841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-0,160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242,0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1,236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-0,997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200,2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0,901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3,183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409,2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1,314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-0,968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201,6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3,623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431,1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0,074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1,421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321,1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0,772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-0,612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219,4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0,051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0,879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1,600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330,0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0,904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276,4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ResultadosTRI_3EM_LP/Simulado_II/EstItens_3EM_LP_S2.xlsx.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C. Distribuição por faixa de proficiência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199"/>
        <w:gridCol w:w="1701"/>
        <w:gridCol w:w="1700"/>
        <w:gridCol w:w="1699"/>
        <w:gridCol w:w="2061"/>
      </w:tblGrid>
      <w:tr>
        <w:trPr>
          <w:tblHeader w:val="true"/>
          <w:cantSplit w:val="true"/>
        </w:trPr>
        <w:tc>
          <w:tcPr>
            <w:tcW w:w="21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Faixa</w:t>
            </w:r>
          </w:p>
        </w:tc>
        <w:tc>
          <w:tcPr>
            <w:tcW w:w="17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- Sim. I</w:t>
            </w:r>
          </w:p>
        </w:tc>
        <w:tc>
          <w:tcPr>
            <w:tcW w:w="1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- Sim. I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- Sim. II</w:t>
            </w:r>
          </w:p>
        </w:tc>
        <w:tc>
          <w:tcPr>
            <w:tcW w:w="206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- Sim. II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[0,25)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[25,50)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[50,100)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872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3,069%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718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2,504%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[100,125)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1.828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6,433%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1.149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4,008%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[125,150)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2.275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8,006%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1.530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5,337%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[150,175)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2.293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8,069%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1.821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6,352%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[175,200)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2.074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7,299%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2.142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7,471%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[200,225)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2.044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7,193%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2.625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9,156%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[225,250)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2.076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7,306%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3.085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10,760%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[250,275)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2.273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7,999%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3.530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12,313%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[275,300)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2.276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8,010%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3.498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12,201%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[300,325)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2.488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8,756%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3.341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11,653%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[325,350)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2.392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8,418%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2.527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8,814%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[350,1e+03)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5.525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19,443%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2.704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9,431%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DistriAlunosClasseLP3serie, Simulados I e II.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 |  AVALIAÇÃO EDUCACIONAL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 |  AVALIAÇÃO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13</Pages>
  <Words>2480</Words>
  <Characters>13013</Characters>
  <CharactersWithSpaces>14511</CharactersWithSpaces>
  <Paragraphs>969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2026-06-20T18:23:57Z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