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3ª série do Ensino Médio – Matemática</w:t>
      </w:r>
    </w:p>
    <w:p>
      <w:pPr>
        <w:spacing w:after="1600"/>
        <w:jc w:val="center"/>
      </w:pPr>
      <w:r>
        <w:rPr>
          <w:rFonts w:ascii="Calibri" w:hAnsi="Calibri"/>
          <w:b/>
          <w:color w:val="5F6B76"/>
          <w:sz w:val="22"/>
        </w:rPr>
        <w:t>Simulados I e II | Piauí, 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20 de junho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As duas aplicações apresentaram provas exigentes para a população avaliada. No Simulado I, o item 8 mostrou discriminação praticamente nula; no Simulado II, o mesmo ocorreu com o item 14. Ambos foram excluídos da calibração TRI, em coerência com os indícios de conflito de gabarito registrados pela equipe.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000"/>
        <w:gridCol w:w="1300"/>
        <w:gridCol w:w="1350"/>
        <w:gridCol w:w="1150"/>
        <w:gridCol w:w="1900"/>
        <w:gridCol w:w="13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 / TRI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28.416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8,50 / 26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32,7%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289,8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Item 8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28.670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8,95 / 26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34,4%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304,6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Item 14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ResumoEscores, ResumoTheta, EscoresBrutos_Aluno e EstItens da 3EM-MT.</w:t>
      </w:r>
    </w:p>
    <w:p>
      <w:r>
        <w:t>A diferença descritiva entre as médias foi de 0,45 ponto no escore bruto e 14,8 pontos na escala de proficiência. Esses valores não devem ser interpretados isoladamente como crescimento longitudinal: as bases têm tamanhos distintos e o relatório não estabelece que os estudantes, a cobertura curricular e as condições de aplicação sejam equivalentes.</w:t>
      </w:r>
    </w:p>
    <w:p>
      <w:pPr>
        <w:pStyle w:val="Heading1"/>
      </w:pPr>
      <w:r>
        <w:t>2. Base de dados e abordagem analítica</w:t>
      </w:r>
    </w:p>
    <w:p>
      <w:r>
        <w:t>Foram analisadas as respostas dos estudantes avaliados em Matemática na 3ª série do Ensino Médio. A primeira aplicação reuniu 28.416 registros e a segunda, 28.670. Em cada simulado, a TCM considerou os 26 itens apresentados. A TRI utilizou um modelo logístico de três parâmetros (3PL), com itens conhecidos fixados para posicionamento na escala SAEB e 25 itens em cada calibração após as exclusões técnicas.</w:t>
      </w:r>
    </w:p>
    <w:p>
      <w:pPr>
        <w:pStyle w:val="Heading2"/>
      </w:pPr>
      <w:r>
        <w:t>Convenções de leitura</w:t>
      </w:r>
    </w:p>
    <w:p>
      <w:pPr>
        <w:pStyle w:val="ListBullet"/>
      </w:pPr>
      <w:r>
        <w:t>Na TCM, a coluna denominada “dificuldade” corresponde à proporção de acertos: valores menores indicam itens mais difíceis.</w:t>
      </w:r>
    </w:p>
    <w:p>
      <w:pPr>
        <w:pStyle w:val="ListBullet"/>
      </w:pPr>
      <w:r>
        <w:t>Itens com discriminação ou correlação ponto-bisserial abaixo de 0,20 foram tratados como sinais de alerta, em consonância com as linhas de referência utilizadas nos scripts.</w:t>
      </w:r>
    </w:p>
    <w:p>
      <w:pPr>
        <w:pStyle w:val="ListBullet"/>
      </w:pPr>
      <w:r>
        <w:t>Na TRI, a proficiência individual foi estimada por EAP e transformada para a escala com centro 250 e desvio 50; os resumos apresentados descrevem a distribuição das estimativas individuais.</w:t>
      </w:r>
    </w:p>
    <w:p>
      <w:pPr>
        <w:pStyle w:val="ListBullet"/>
      </w:pPr>
      <w:r>
        <w:t>Parâmetros extremos e estatísticas de ajuste devem ser interpretados em conjunto com o conteúdo do item, o gabarito e as curvas características, não como critérios automáticos de descarte.</w:t>
      </w:r>
    </w:p>
    <w:p>
      <w:pPr>
        <w:pStyle w:val="Heading1"/>
      </w:pPr>
      <w:r>
        <w:t>3. Resultados da TCM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1000"/>
        <w:gridCol w:w="1100"/>
        <w:gridCol w:w="1500"/>
        <w:gridCol w:w="1650"/>
        <w:gridCol w:w="156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média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0,20–0,40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≥0,40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8,95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5,35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ResumoEscores e MedidasTCM_Item.</w:t>
      </w:r>
    </w:p>
    <w:p>
      <w:r>
        <w:t>A concentração dos itens entre 0,20 e 0,40 de acerto — 23 itens no Simulado I e 20 no Simulado II — caracteriza instrumentos predominantemente difíceis. Nenhum item alcançou 0,60 de acerto. O Simulado II apresentou seis itens com pelo menos 0,40 de acerto, contra três no Simulado I.</w:t>
      </w:r>
    </w:p>
    <w:p>
      <w:r>
        <w:drawing>
          <wp:inline xmlns:a="http://schemas.openxmlformats.org/drawingml/2006/main" xmlns:pic="http://schemas.openxmlformats.org/drawingml/2006/picture">
            <wp:extent cx="5806440" cy="3806444"/>
            <wp:docPr id="1" name="Picture 1" descr="Quatro gráficos de barras mostram proporção de acertos e discriminação dos 26 itens nos Simulados I e II; os itens 8 e 14 aparecem destacados em vermelho." title="Quatro gráficos de barras mostram proporção de acertos e discriminação dos 26 itens nos Simulados I e II; os itens 8 e 14 aparecem destacados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m_it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 Itens excluídos da TRI destacados em vermelho.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MedidasTCM_Item, Simulados I e II.</w:t>
      </w:r>
    </w:p>
    <w:p>
      <w:pPr>
        <w:pStyle w:val="Heading2"/>
      </w:pPr>
      <w:r>
        <w:t>Itens com comportamento atípico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1450"/>
        <w:gridCol w:w="1300"/>
        <w:gridCol w:w="1650"/>
        <w:gridCol w:w="301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de acertos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revisar gabarito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revisar 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 e Impressões gerais sobre os resultados.</w:t>
      </w:r>
    </w:p>
    <w:p>
      <w:pPr>
        <w:shd w:fill="FDE9E7"/>
        <w:pBdr>
          <w:left w:val="single" w:sz="18" w:space="8" w:color="B3261E"/>
        </w:pBdr>
      </w:pPr>
      <w:r>
        <w:rPr>
          <w:rFonts w:ascii="Calibri" w:hAnsi="Calibri"/>
          <w:color w:val="6B1D16"/>
          <w:sz w:val="21"/>
        </w:rPr>
        <w:t>A baixa discriminação, acompanhada de correlação ponto-bisserial próxima de zero, indica que o acerto nesses itens quase não acompanhou o desempenho geral. Esse padrão é compatível com gabarito problemático, ambiguidade ou funcionamento anômalo e justifica a revisão de conteúdo antes de qualquer reutilização.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289,8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288,3 a 291,3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66,2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273,1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236,6 a 337,2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304,6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303,3 a 305,8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52,8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292,7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261,5 a 347,9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drawing>
          <wp:inline xmlns:a="http://schemas.openxmlformats.org/drawingml/2006/main" xmlns:pic="http://schemas.openxmlformats.org/drawingml/2006/picture">
            <wp:extent cx="5806440" cy="2580640"/>
            <wp:docPr id="2" name="Picture 2" descr="Gráfico de barras agrupadas compara os percentuais de estudantes dos Simulados I e II em oito faixas de proficiência, de 175 a 350 pontos ou mais." title="Gráfico de barras agrupadas compara os percentuais de estudantes dos Simulados I e II em oito faixas de proficiência, de 175 a 350 pontos ou m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th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DistriAlunosClasseMT3serie, Simulados I e II.</w:t>
      </w:r>
    </w:p>
    <w:p>
      <w:r>
        <w:t>No Simulado I, a proficiência média foi 289,8, com mediana 273,1 e assimetria positiva (0,69). No Simulado II, a média foi 304,6, a mediana 292,7 e a assimetria foi menor (0,48). A proporção na faixa de 350 pontos ou mais foi 21,7% na primeira aplicação e 24,2% na segunda.</w:t>
      </w:r>
    </w:p>
    <w:p>
      <w:pPr>
        <w:pStyle w:val="Heading2"/>
      </w:pPr>
      <w:r>
        <w:t>Parâmetros dos itens</w:t>
      </w:r>
    </w:p>
    <w:p>
      <w:r>
        <w:t>No Simulado I, nove itens apresentaram dificuldade estimada acima de 400 pontos na escala SAEB (2, 3, 4, 7, 14, 15, 16, 17 e 24); os itens 16 e 24, além disso, tiveram discriminação inferior a 0,60. No Simulado II, apenas o item 2 ficou acima de 400 pontos, e os itens 5 e 25 apresentaram discriminações muito elevadas (a &gt; 4), valores que merecem conferência conjunta com erros-padrão e curvas do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00"/>
        <w:gridCol w:w="561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5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3, 4, 7, 14, 15, 16, 17 e 24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16 e 24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 &gt; 0,25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&gt; 4,00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5 e 25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EstItens_3EM_MT. Os pontos de corte são diagnósticos e não implicam exclusão automática.</w:t>
      </w:r>
    </w:p>
    <w:p>
      <w:pPr>
        <w:pStyle w:val="Heading1"/>
      </w:pPr>
      <w:r>
        <w:t>5. Leitura comparativa entre as aplicações</w:t>
      </w:r>
    </w:p>
    <w:p>
      <w:r>
        <w:t>O Simulado II apresentou escore bruto médio e proficiência média superiores, menor dispersão relativa das proficiências e maior concentração nas faixas a partir de 300 pontos. A TCM também mostra uma forma ligeiramente menos difícil, com maior proporção média de acertos. Em contrapartida, os conjuntos de itens e de estudantes não são integralmente documentados aqui como equivalentes; por isso, o contraste deve permanecer descritivo.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50"/>
        <w:gridCol w:w="1850"/>
        <w:gridCol w:w="29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Indicador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Simulado I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Simulado II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Diferença descritiva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 de estudantes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28.416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28.670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+254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Escore bruto médio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8,95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+0,45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Proporção média de acertos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+0,017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Proficiência média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289,8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304,6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+14,8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DP das proficiências EAP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66,2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52,8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-13,4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Estudantes com 350+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21,7%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24,2%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+2,5 p.p.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 TCM e TRI da 3EM-MT. Diferenças sem ajuste por composição ou pareamento.</w:t>
      </w:r>
    </w:p>
    <w:p>
      <w:pPr>
        <w:pStyle w:val="Heading1"/>
      </w:pPr>
      <w:r>
        <w:t>6. Recomendações</w:t>
      </w:r>
    </w:p>
    <w:p>
      <w:pPr>
        <w:pStyle w:val="ListNumber"/>
      </w:pPr>
      <w:r>
        <w:t>Revisar formalmente os gabaritos e o conteúdo dos itens 8 (Simulado I) e 14 (Simulado II), documentando a decisão final e impedindo reutilização até a conclusão da análise.</w:t>
      </w:r>
    </w:p>
    <w:p>
      <w:pPr>
        <w:pStyle w:val="ListNumber"/>
      </w:pPr>
      <w:r>
        <w:t>Examinar os distratores desses dois itens por grupo de escore, verificando se uma alternativa não oficial foi progressivamente mais escolhida pelos estudantes de maior desempenho.</w:t>
      </w:r>
    </w:p>
    <w:p>
      <w:pPr>
        <w:pStyle w:val="ListNumber"/>
      </w:pPr>
      <w:r>
        <w:t>Realizar leitura de ajuste TRI item a item, combinando infit/outfit, testes X²/G²/PV-Q1, curvas características e erros-padrão antes de aprovar itens com parâmetros extremos.</w:t>
      </w:r>
    </w:p>
    <w:p>
      <w:pPr>
        <w:pStyle w:val="ListNumber"/>
      </w:pPr>
      <w:r>
        <w:t>Para comparar os simulados como medida de evolução, estabelecer base pareada de estudantes ou aplicar ponderação/controle de composição, além de confirmar a estabilidade dos itens de ligação.</w:t>
      </w:r>
    </w:p>
    <w:p>
      <w:pPr>
        <w:pStyle w:val="ListNumber"/>
      </w:pPr>
      <w:r>
        <w:t>Produzir uma ficha de decisão por item com status: aprovado, revisar, excluir da proficiência ou reservar para nova aplicação.</w:t>
      </w:r>
    </w:p>
    <w:p>
      <w:pPr>
        <w:pStyle w:val="Heading1"/>
      </w:pPr>
      <w:r>
        <w:t>7. Arquivos-fonte principais</w:t>
      </w:r>
    </w:p>
    <w:p>
      <w:pPr>
        <w:pStyle w:val="ListBullet"/>
      </w:pPr>
      <w:r>
        <w:t>ResultadosTCM_3EM_MT/Simulado_I e Simulado_II: ResumoEscores.xlsx, MedidasTCM_Item.xlsx, PropAcertosGrupo.xlsx e PropEscolhaAlternativaGrupo.xlsx.</w:t>
      </w:r>
    </w:p>
    <w:p>
      <w:pPr>
        <w:pStyle w:val="ListBullet"/>
      </w:pPr>
      <w:r>
        <w:t>ResultadosTRI_3EM_MT/Simulado_I e Simulado_II: ResumoTheta, ResumoThetaIC, EstItens, DistriAlunosClasse e BaseRespTheta.</w:t>
      </w:r>
    </w:p>
    <w:p>
      <w:pPr>
        <w:pStyle w:val="ListBullet"/>
      </w:pPr>
      <w:r>
        <w:t>Programas/TCM_3EM_MT_S1.R, TCM_3EM_MT_S2.R, Fit_3PL_Fix_3EM_MT_S1.R e Fit_3PL_Fix_3EM_MT_S2.R.</w:t>
      </w:r>
    </w:p>
    <w:p>
      <w:pPr>
        <w:pStyle w:val="ListBullet"/>
      </w:pPr>
      <w:r>
        <w:t>Impressões gerais..odt, com as ressalvas técnicas registradas pela equipe.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 |  AVALIAÇÃO EDUCACIONAL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