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2ª série do Ensino Médio – Matemática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IV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27 de agosto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IV de Matemática da 2ª série teve o item 24 excluído da TRI por possível conflito de gabarito. A TCM contém 26 itens e a TRI, 25. O item 24 reúne baixa proporção de acertos, discriminação baixa e uma alternativa não oficial mais associada ao desempenho.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30.546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8,60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33,1%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310,5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IV.</w:t>
      </w:r>
    </w:p>
    <w:p>
      <w:pPr>
        <w:pStyle w:val="Heading1"/>
      </w:pPr>
      <w:r>
        <w:t>2. Dados e método</w:t>
      </w:r>
    </w:p>
    <w:p>
      <w:r>
        <w:t>A análise utiliza os arquivos de resultados do Simulado IV de Matemática da 2ª série do Ensino Médio, armazenados na pasta Agosto.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IV; itens com ressalva aparecem em vermelho." title="Gráficos de barras mostram proporção de acertos e discriminação por item no Simulado IV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MT_tcm_it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IV.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350"/>
        <w:gridCol w:w="1350"/>
        <w:gridCol w:w="1500"/>
        <w:gridCol w:w="1700"/>
        <w:gridCol w:w="27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acertos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0,091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possível conflito de 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 e Informações gerais.odt.</w:t>
      </w:r>
    </w:p>
    <w:p>
      <w:r>
        <w:t>O item 24 teve 13,7% de acertos, discriminação 0,076 e correlação ponto-bisserial 0,091. O gabarito E recebeu 13,7% das escolhas, enquanto C recebeu 28,5% e apresentou ponto-bisserial 0,216. Esse padrão é compatível com a ressalva de possível conflito de gabarito registrada pela equipe; não permite, isoladamente, alterar a chave oficial.</w:t>
      </w:r>
    </w:p>
    <w:p>
      <w:pPr>
        <w:pStyle w:val="Heading2"/>
      </w:pPr>
      <w:r>
        <w:t>Diagnóstico das alternativas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50"/>
        <w:gridCol w:w="1400"/>
        <w:gridCol w:w="1700"/>
        <w:gridCol w:w="1900"/>
        <w:gridCol w:w="241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Alternativa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escolha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Ponto-bisserial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-0,217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-0,056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-0,049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14,7%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-0,030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-0,046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13,7%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0,091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mDificNRDF, mDiscNRDF e mcpBisNRDF, Simulado IV.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310,5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309,3 a 311,8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60,3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295,7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263,0 a 354,3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t>O intervalo de confiança é reproduzido do arquivo de resultados; não representa o erro individual de proficiência. As médias de disciplinas distintas não devem ser comparadas diretamente como medidas equivalentes de desempenho.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IV." title="Gráfico de barras mostra os percentuais de estudantes por faixa de proficiência no Simulado I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MT_theta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DistriAlunosClasseMT2serie_S4.xlsx.</w:t>
      </w:r>
    </w:p>
    <w:p>
      <w:r>
        <w:t>A proficiência média estimada foi 310,5, com mediana 295,7 e desvio-padrão EAP de 60,3. A proporção de estudantes na faixa de 350 pontos ou mais foi 26,4%.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2, 5, 6, 7, 8, 12, 17, 23, 25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4, 17, 23, 26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&gt; 4,00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 &gt; 0,25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EstItens_2EM_MT_S4.xlsx.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Revisar formalmente o enunciado, a resolução e o gabarito do item 24, com atenção à alternativa C.</w:t>
      </w:r>
    </w:p>
    <w:p>
      <w:pPr>
        <w:pStyle w:val="ListNumber"/>
      </w:pPr>
      <w:r>
        <w:t>Registrar a exclusão do item 24 apenas da TRI: os escores TCM apresentados continuam calculados sobre 26 itens.</w:t>
      </w:r>
    </w:p>
    <w:p>
      <w:pPr>
        <w:pStyle w:val="ListNumber"/>
      </w:pPr>
      <w:r>
        <w:t>Examinar parâmetros extremos e curvas dos itens antes de decisões de banco ou reaplicação.</w:t>
      </w:r>
    </w:p>
    <w:p>
      <w:pPr>
        <w:pStyle w:val="Heading1"/>
        <w:pageBreakBefore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ResultadosTCM_2EM_MT/Simulado_IV: EscoresBrutos_Aluno.xlsx, MedidasTCM_Item.xlsx, mDificNRDF.xlsx, mDiscNRDF.xlsx e mcpBisNRDF.xlsx.</w:t>
      </w:r>
    </w:p>
    <w:p>
      <w:pPr>
        <w:pStyle w:val="ListBullet"/>
      </w:pPr>
      <w:r>
        <w:t>ResultadosTRI_2EM_MT/Simulado_IV: ResumoTheta, ResumoThetaIC, EstItens, DistriAlunosClasse e BaseRespTheta.</w:t>
      </w:r>
    </w:p>
    <w:p>
      <w:pPr>
        <w:pStyle w:val="ListBullet"/>
      </w:pPr>
      <w:r>
        <w:t>Programas/TCM_2EM_MT_S4.R e Fit_3PL_Fix_2EM_MT_S4.R.</w:t>
      </w:r>
    </w:p>
    <w:p>
      <w:pPr>
        <w:pStyle w:val="ListBullet"/>
      </w:pPr>
      <w:r>
        <w:t>Informações gerais.odt,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0,347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ResultadosTCM_2EM_MT/Simulado_IV/MedidasTCM_Item.xlsx.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1,738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336,9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3,332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416,6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2,261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363,1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1,696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334,8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1,973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3,002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2,694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3,012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400,6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2,557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3,217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410,9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4,178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3,130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406,5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366,5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2,084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354,2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2,395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369,8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3,198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409,9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2,859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356,2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2,491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370,6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2,094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390,2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3,985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449,3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1,455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2,558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377,9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2,337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2,768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388,4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385,7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1,853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2,944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397,2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4,223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461,2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1,291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3,030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401,5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371,7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ResultadosTRI_2EM_MT/Simulado_IV/EstItens_2EM_MT_S4.xlsx.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819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2,681%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3.765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12,326%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6.063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19,849%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5.429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17,773%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3.804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12,453%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2.613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8,554%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8.053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26,364%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DistriAlunosClasseMT2serie_S4.xlsx.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IV | 2EM-MT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