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3ª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27 de agosto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IV de Língua Portuguesa da 3ª série manteve os 26 itens na TRI. Os itens 18 e 24 merecem acompanhamento: ambos tiveram correlação ponto-bisserial abaixo de 0,20, e o item 24 também apresentou discriminação abaixo desse limiar.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29.728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13,20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50,8%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232,1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IV.</w:t>
      </w:r>
    </w:p>
    <w:p>
      <w:pPr>
        <w:pStyle w:val="Heading1"/>
      </w:pPr>
      <w:r>
        <w:t>2. Dados e método</w:t>
      </w:r>
    </w:p>
    <w:p>
      <w:r>
        <w:t>A análise utiliza os arquivos de resultados do Simulado IV de Língua Portuguesa da 3ª série do Ensino Médio, armazenados na pasta Agosto.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V; itens com ressalva aparecem em vermelho." title="Gráficos de barras mostram proporção de acertos e discriminação por item no Simulado I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LP_tcm_it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0,184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ponto-bisserial baixo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0,121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discriminação e ponto-bisserial baixos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Informações gerais.odt.</w:t>
      </w:r>
    </w:p>
    <w:p>
      <w:r>
        <w:t>No item 18, o gabarito A recebeu 30,4% das escolhas e ponto-bisserial 0,184; o distrator D recebeu 27,9% e ponto-bisserial 0,201. Recomenda-se examinar a concorrência entre A e D, sem concluir pela troca do gabarito. No item 24, o gabarito E recebeu 22,3%, com discriminação 0,120 e ponto-bisserial 0,121; o distrator D foi mais escolhido (24,3%), mas teve menor ponto-bisserial (0,073). Não houve exclusão desses itens na TRI.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17,7%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0,201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-0,082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-0,131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-0,080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-0,079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0,121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IV.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232,1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230,7 a 233,5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76,0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238,1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170,4 a 288,7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é reproduzido do arquivo de resultados; não representa o erro individual de proficiência.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V." title="Gráfico de barras mostra os percentuais de estudantes por faixa de proficiência no Simulado I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LP_theta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DistriAlunosClasseLP3serie_S4.xlsx.</w:t>
      </w:r>
    </w:p>
    <w:p>
      <w:r>
        <w:t>A proficiência média estimada foi 232,1, com mediana 238,1 e desvio-padrão EAP de 76,0. A proporção de estudantes na faixa de 350 pontos ou mais foi 5,1%.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18, 24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8, 18, 21, 26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EstItens_3EM_LP_S4.xlsx.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Revisar o item 18, especialmente a distinção de conteúdo entre o gabarito A e o distrator D.</w:t>
      </w:r>
    </w:p>
    <w:p>
      <w:pPr>
        <w:pStyle w:val="ListNumber"/>
      </w:pPr>
      <w:r>
        <w:t>Revisar a clareza e o funcionamento das alternativas do item 24, registrando que foi mantido na TRI.</w:t>
      </w:r>
    </w:p>
    <w:p>
      <w:pPr>
        <w:pStyle w:val="ListNumber"/>
      </w:pPr>
      <w:r>
        <w:t>Combinar as ressalvas TCM com parâmetros, curvas e evidências pedagógicas antes de decidir sobre os itens.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ResultadosTCM_3EM_LP/Simulado_IV: EscoresBrutos_Aluno.xlsx, MedidasTCM_Item.xlsx, mDificNRDF.xlsx, mDiscNRDF.xlsx e mcpBisNRDF.xlsx.</w:t>
      </w:r>
    </w:p>
    <w:p>
      <w:pPr>
        <w:pStyle w:val="ListBullet"/>
      </w:pPr>
      <w:r>
        <w:t>ResultadosTRI_3EM_LP/Simulado_IV: ResumoTheta, ResumoThetaIC, EstItens, DistriAlunosClasse e BaseRespTheta.</w:t>
      </w:r>
    </w:p>
    <w:p>
      <w:pPr>
        <w:pStyle w:val="ListBullet"/>
      </w:pPr>
      <w:r>
        <w:t>Programas/TCM_3EM_LP_S4.R e Fit_3PL_Fix_3EM_LP_S4.R.</w:t>
      </w:r>
    </w:p>
    <w:p>
      <w:pPr>
        <w:pStyle w:val="ListBullet"/>
      </w:pPr>
      <w:r>
        <w:t>Informações gerais.odt,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0,827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ResultadosTCM_3EM_LP/Simulado_IV/MedidasTCM_Item.xlsx.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0,883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-0,395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230,2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193,7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0,945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-0,092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1,344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-1,423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178,9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-0,820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209,0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371,8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-0,657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217,1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-0,966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201,7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-0,822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208,9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270,5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1,177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358,1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0,882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-1,292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-0,337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233,1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198,5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263,5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1,164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245,2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5,235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511,7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240,7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290,4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365,5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253,2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1,237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257,6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3,398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419,9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2,043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352,2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2,465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373,2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ResultadosTRI_3EM_LP/Simulado_IV/EstItens_3EM_LP_S4.xlsx.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946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3,182%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1.918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6,452%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2.507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8,433%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2.561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8,615%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2.443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8,218%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2.864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9,634%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3.313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11,144%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3.767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12,672%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3.466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11,659%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2.632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8,854%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1.790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6,021%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1.521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5,116%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DistriAlunosClasseLP3serie_S4.xlsx.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IV | 3EM-LP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