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</w:p>
    <w:p>
      <w:pPr>
        <w:spacing w:after="360"/>
      </w:pPr>
    </w:p>
    <w:p>
      <w:pPr>
        <w:spacing w:after="360"/>
      </w:pPr>
    </w:p>
    <w:p>
      <w:pPr>
        <w:spacing w:after="360"/>
      </w:pPr>
    </w:p>
    <w:p>
      <w:pPr>
        <w:spacing w:after="360"/>
      </w:pPr>
    </w:p>
    <w:p>
      <w:pPr>
        <w:spacing w:after="360"/>
        <w:jc w:val="center"/>
      </w:pPr>
      <w:r>
        <w:rPr>
          <w:rFonts w:ascii="Calibri" w:hAnsi="Calibri"/>
          <w:b/>
          <w:color w:val="2E74B5"/>
          <w:sz w:val="22"/>
        </w:rPr>
        <w:t>RELATÓRIO TÉCNICO</w:t>
      </w:r>
    </w:p>
    <w:p>
      <w:pPr>
        <w:spacing w:after="120"/>
        <w:jc w:val="center"/>
      </w:pPr>
      <w:r>
        <w:rPr>
          <w:rFonts w:ascii="Calibri" w:hAnsi="Calibri"/>
          <w:b/>
          <w:color w:val="203748"/>
          <w:sz w:val="60"/>
        </w:rPr>
        <w:t>Análises TCM e TRI</w:t>
      </w:r>
    </w:p>
    <w:p>
      <w:pPr>
        <w:spacing w:after="560"/>
        <w:jc w:val="center"/>
      </w:pPr>
      <w:r>
        <w:rPr>
          <w:rFonts w:ascii="Calibri" w:hAnsi="Calibri"/>
          <w:color w:val="1F4D78"/>
          <w:sz w:val="30"/>
        </w:rPr>
        <w:t>2ª série do Ensino Médio – Língua Portuguesa</w:t>
      </w:r>
    </w:p>
    <w:p>
      <w:pPr>
        <w:spacing w:after="680"/>
        <w:jc w:val="center"/>
      </w:pPr>
      <w:r>
        <w:rPr>
          <w:rFonts w:ascii="Calibri" w:hAnsi="Calibri"/>
          <w:b/>
          <w:color w:val="5F6B76"/>
          <w:sz w:val="22"/>
        </w:rPr>
        <w:t>Simulado III | Piauí, 2026</w:t>
      </w:r>
    </w:p>
    <w:p>
      <w:pPr>
        <w:spacing w:after="840"/>
        <w:jc w:val="center"/>
      </w:pPr>
      <w:r>
        <w:rPr>
          <w:rFonts w:ascii="Calibri" w:hAnsi="Calibri"/>
          <w:i/>
          <w:color w:val="5F6B76"/>
          <w:sz w:val="21"/>
        </w:rPr>
        <w:t>Documento-base metodológico: Relatório 3EM-MT 2025 e relatórios refinados de Junho/2026</w:t>
      </w:r>
    </w:p>
    <w:p>
      <w:pPr>
        <w:jc w:val="center"/>
      </w:pPr>
      <w:r>
        <w:rPr>
          <w:rFonts w:ascii="Calibri" w:hAnsi="Calibri"/>
          <w:color w:val="5F6B76"/>
          <w:sz w:val="20"/>
        </w:rPr>
        <w:t>20 de julho de 2026</w:t>
      </w:r>
    </w:p>
    <w:p>
      <w:r>
        <w:br w:type="page"/>
      </w:r>
    </w:p>
    <w:p>
      <w:pPr>
        <w:pStyle w:val="Heading1"/>
      </w:pPr>
      <w:r>
        <w:t>1. Síntese executiva</w:t>
      </w:r>
    </w:p>
    <w:p>
      <w:pPr>
        <w:spacing w:before="80" w:after="200"/>
        <w:shd w:fill="EDF4FB"/>
        <w:pBdr>
          <w:left w:val="single" w:sz="18" w:space="8" w:color="2E74B5"/>
        </w:pBdr>
      </w:pPr>
      <w:r>
        <w:rPr>
          <w:rFonts w:ascii="Calibri" w:hAnsi="Calibri"/>
          <w:b/>
          <w:color w:val="203748"/>
          <w:sz w:val="21"/>
        </w:rPr>
        <w:t>Leitura principal. O Simulado III de Língua Portuguesa da 2ª série apresentou um item retirado da calibração TRI: o item 5, com possível conflito de gabarito. O item 13 também apareceu como muito difícil e com discriminação abaixo de 0,20, mas foi mantido na TRI; sua interpretação deve permanecer acompanhada.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900"/>
        <w:gridCol w:w="1350"/>
        <w:gridCol w:w="1250"/>
        <w:gridCol w:w="1000"/>
        <w:gridCol w:w="1700"/>
        <w:gridCol w:w="2010"/>
      </w:tblGrid>
      <w:tr>
        <w:trPr>
          <w:tblHeader w:val="true"/>
          <w:cantSplit/>
        </w:trPr>
        <w:tc>
          <w:tcPr>
            <w:tcW w:type="dxa" w:w="1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Aplicação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N</w:t>
            </w:r>
          </w:p>
        </w:tc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Itens TCM/TRI</w:t>
            </w:r>
          </w:p>
        </w:tc>
        <w:tc>
          <w:tcPr>
            <w:tcW w:type="dxa" w:w="1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Escore médio</w:t>
            </w:r>
          </w:p>
        </w:tc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% do total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Proficiência média</w:t>
            </w:r>
          </w:p>
        </w:tc>
        <w:tc>
          <w:tcPr>
            <w:tcW w:type="dxa" w:w="20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Exclusão TRI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Simulado III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30.693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26 / 25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13,60 / 26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52,3%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257,4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5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EscoresBrutos_Aluno, MedidasTCM_Item, EstItens e ResumoTheta do Simulado III.</w:t>
      </w:r>
    </w:p>
    <w:p>
      <w:pPr>
        <w:pStyle w:val="Heading1"/>
      </w:pPr>
      <w:r>
        <w:t>2. Dados e método</w:t>
      </w:r>
    </w:p>
    <w:p>
      <w:r>
        <w:t>A análise utiliza os arquivos de resultados do Simulado III de Língua Portuguesa da 2ª série do Ensino Médio, armazenados na pasta Julho. A TCM foi usada para examinar proporção de acertos, discriminação e correlações bisserial e ponto-bisserial. A TRI foi estimada pelo modelo logístico de três parâmetros, com equalização para a escala SAEB quando indicado nos arquivos de itens.</w:t>
      </w:r>
    </w:p>
    <w:p>
      <w:r>
        <w:t>Como nos relatórios anteriores, os limiares de discriminação e correlação ponto-bisserial abaixo de 0,20 são tratados como sinais diagnósticos, não como regras automáticas de exclusão. A decisão final combina TCM, parâmetros TRI, ajustes do modelo, estabilidade da estimação e revisão pedagógica.</w:t>
      </w:r>
    </w:p>
    <w:p>
      <w:pPr>
        <w:pStyle w:val="Heading1"/>
      </w:pPr>
      <w:r>
        <w:t>3. Resultados da TCM</w:t>
      </w:r>
    </w:p>
    <w:p>
      <w:r>
        <w:drawing>
          <wp:inline xmlns:a="http://schemas.openxmlformats.org/drawingml/2006/main" xmlns:pic="http://schemas.openxmlformats.org/drawingml/2006/picture">
            <wp:extent cx="5806440" cy="2258060"/>
            <wp:docPr id="1" name="Picture 1" descr="Gráficos de barras mostram proporção de acertos e discriminação por item no Simulado III; itens com ressalva aparecem em vermelho." title="Gráficos de barras mostram proporção de acertos e discriminação por item no Simulado III; itens com ressalva aparecem em vermelh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EM_LP_tcm_ite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58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F6B76"/>
          <w:sz w:val="18"/>
        </w:rPr>
        <w:t>Figura 1. Proporção de acertos e discriminação por item.</w:t>
      </w:r>
    </w:p>
    <w:p>
      <w:pPr>
        <w:spacing w:before="80" w:after="80"/>
      </w:pPr>
      <w:r>
        <w:rPr>
          <w:rFonts w:ascii="Calibri" w:hAnsi="Calibri"/>
          <w:color w:val="5F6B76"/>
          <w:sz w:val="17"/>
        </w:rPr>
        <w:t>Fonte: MedidasTCM_Item.xlsx, Simulado III.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50"/>
        <w:gridCol w:w="1350"/>
        <w:gridCol w:w="1350"/>
        <w:gridCol w:w="1500"/>
        <w:gridCol w:w="1700"/>
        <w:gridCol w:w="2710"/>
      </w:tblGrid>
      <w:tr>
        <w:trPr>
          <w:tblHeader w:val="true"/>
          <w:cantSplit/>
        </w:trPr>
        <w:tc>
          <w:tcPr>
            <w:tcW w:type="dxa" w:w="7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Item</w:t>
            </w:r>
          </w:p>
        </w:tc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Prop. acertos</w:t>
            </w:r>
          </w:p>
        </w:tc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Discriminação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Corr. bisserial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Corr. ponto-bisserial</w:t>
            </w:r>
          </w:p>
        </w:tc>
        <w:tc>
          <w:tcPr>
            <w:tcW w:type="dxa" w:w="27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Encaminhamento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005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0,134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0,118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0,214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0,136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Excluído da TRI; possível conflito de gabarito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013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0,153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0,186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0,318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0,209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Mantido na TRI; dificuldade elevada e discriminação baixa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MedidasTCM_Item.xlsx e Impressões gerais..odt.</w:t>
      </w:r>
    </w:p>
    <w:p>
      <w:r>
        <w:t>O item 5 concentra a ressalva técnica da aplicação: o gabarito E teve apenas 13,4% das escolhas e ponto-bisserial baixo, enquanto alternativas não oficiais, sobretudo B e D, concentraram volume relevante de respostas. O item 13 também foi muito difícil e pouco discriminativo, mas preservou correlação ponto-bisserial acima de 0,20 e foi mantido na estimação.</w:t>
      </w:r>
    </w:p>
    <w:p>
      <w:pPr>
        <w:pStyle w:val="Heading2"/>
      </w:pPr>
      <w:r>
        <w:t>Diagnóstico das alternativas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1150"/>
        <w:gridCol w:w="1400"/>
        <w:gridCol w:w="1700"/>
        <w:gridCol w:w="1900"/>
        <w:gridCol w:w="2410"/>
      </w:tblGrid>
      <w:tr>
        <w:trPr>
          <w:tblHeader w:val="true"/>
          <w:cantSplit/>
        </w:trPr>
        <w:tc>
          <w:tcPr>
            <w:tcW w:type="dxa" w:w="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Item</w:t>
            </w:r>
          </w:p>
        </w:tc>
        <w:tc>
          <w:tcPr>
            <w:tcW w:type="dxa" w:w="1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Alternativa</w:t>
            </w:r>
          </w:p>
        </w:tc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% escolha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Discriminação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Ponto-bisserial</w:t>
            </w:r>
          </w:p>
        </w:tc>
        <w:tc>
          <w:tcPr>
            <w:tcW w:type="dxa" w:w="24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Papel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5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A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13,4%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-0,110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-0,126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Distrator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5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B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34,1%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0,064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0,057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Distrator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5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C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10,8%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-0,173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-0,218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Distrator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5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27,6%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0,117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0,104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Distrator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5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E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13,4%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0,118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0,136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Gabarito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13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A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17,0%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-0,022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-0,030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Distrator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13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B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28,4%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-0,020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-0,014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Distrator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13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C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26,2%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-0,157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-0,141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Distrator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13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12,5%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0,029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0,042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Distrator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13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E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15,3%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0,186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0,209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Gabarito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mDificNRDF, mDiscNRDF e mcpBisNRDF, Simulado III.</w:t>
      </w:r>
    </w:p>
    <w:p>
      <w:pPr>
        <w:pStyle w:val="Heading1"/>
      </w:pPr>
      <w:r>
        <w:t>4. Resultados da TRI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950"/>
        <w:gridCol w:w="1700"/>
        <w:gridCol w:w="1000"/>
        <w:gridCol w:w="1050"/>
        <w:gridCol w:w="1900"/>
        <w:gridCol w:w="1460"/>
      </w:tblGrid>
      <w:tr>
        <w:trPr>
          <w:tblHeader w:val="true"/>
          <w:cantSplit/>
        </w:trPr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Aplicação</w:t>
            </w:r>
          </w:p>
        </w:tc>
        <w:tc>
          <w:tcPr>
            <w:tcW w:type="dxa" w:w="9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Média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IC 95% da média</w:t>
            </w:r>
          </w:p>
        </w:tc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DP EAP</w:t>
            </w:r>
          </w:p>
        </w:tc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Mediana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Intervalo interquartil</w:t>
            </w:r>
          </w:p>
        </w:tc>
        <w:tc>
          <w:tcPr>
            <w:tcW w:type="dxa" w:w="1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Itens fixados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Simulado III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257,4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256,2 a 258,6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72,6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264,3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201,2 a 312,5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7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ResumoTheta e ResumoThetaIC.</w:t>
      </w:r>
    </w:p>
    <w:p>
      <w:r>
        <w:drawing>
          <wp:inline xmlns:a="http://schemas.openxmlformats.org/drawingml/2006/main" xmlns:pic="http://schemas.openxmlformats.org/drawingml/2006/picture">
            <wp:extent cx="5806440" cy="2451608"/>
            <wp:docPr id="2" name="Picture 2" descr="Gráfico de barras mostra os percentuais de estudantes por faixa de proficiência no Simulado III." title="Gráfico de barras mostra os percentuais de estudantes por faixa de proficiência no Simulado III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EM_LP_theta_d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51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F6B76"/>
          <w:sz w:val="18"/>
        </w:rPr>
        <w:t>Figura 2. Distribuição percentual dos estudantes por faixa de proficiência.</w:t>
      </w:r>
    </w:p>
    <w:p>
      <w:pPr>
        <w:spacing w:before="80" w:after="80"/>
      </w:pPr>
      <w:r>
        <w:rPr>
          <w:rFonts w:ascii="Calibri" w:hAnsi="Calibri"/>
          <w:color w:val="5F6B76"/>
          <w:sz w:val="17"/>
        </w:rPr>
        <w:t>Fonte: DistriAlunosClasseLP2serie_S3.xlsx.</w:t>
      </w:r>
    </w:p>
    <w:p>
      <w:r>
        <w:t>A proficiência média estimada foi 257,4, com mediana 264,3 e desvio-padrão EAP de 72,6. A proporção de estudantes na faixa de 350 pontos ou mais foi 9,5%.</w:t>
      </w:r>
    </w:p>
    <w:p>
      <w:pPr>
        <w:pStyle w:val="Heading2"/>
      </w:pPr>
      <w:r>
        <w:t>Parâmetros dos itens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Sinal para revisão</w:t>
            </w:r>
          </w:p>
        </w:tc>
        <w:tc>
          <w:tcPr>
            <w:tcW w:type="dxa" w:w="6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Itens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bSAEB &gt; 400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13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a &lt; 0,60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13, 20, 24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EstItens_2EM_LP_S3.xlsx. Os pontos de corte são diagnósticos e não implicam exclusão automática.</w:t>
      </w:r>
    </w:p>
    <w:p>
      <w:pPr>
        <w:pStyle w:val="Heading1"/>
      </w:pPr>
      <w:r>
        <w:t>5. Recomendações</w:t>
      </w:r>
    </w:p>
    <w:p>
      <w:pPr>
        <w:pStyle w:val="ListNumber"/>
      </w:pPr>
      <w:r>
        <w:t>Revisar formalmente o gabarito e o enunciado do item 5 antes de qualquer reutilização.</w:t>
      </w:r>
    </w:p>
    <w:p>
      <w:pPr>
        <w:pStyle w:val="ListNumber"/>
      </w:pPr>
      <w:r>
        <w:t>Manter o item 13 sob acompanhamento pedagógico e psicométrico, por dificuldade extrema e discriminação baixa.</w:t>
      </w:r>
    </w:p>
    <w:p>
      <w:pPr>
        <w:pStyle w:val="ListNumber"/>
      </w:pPr>
      <w:r>
        <w:t>Combinar a leitura TCM com os ajustes TRI e curvas dos itens antes da decisão final de banco.</w:t>
      </w:r>
    </w:p>
    <w:p>
      <w:pPr>
        <w:pStyle w:val="Heading1"/>
      </w:pPr>
      <w:r>
        <w:t>6. Referências e arquivos-fonte</w:t>
      </w:r>
    </w:p>
    <w:p>
      <w:r>
        <w:t>Primi, R. (2012). Psicometria: fundamentos matemáticos da Teoria Clássica dos Testes. Avaliação Psicológica, 11, 297–307.</w:t>
      </w:r>
    </w:p>
    <w:p>
      <w:r>
        <w:t>Wu, M.; Tam, H. P.; Jen, T.-H. (2017). Educational Measurement for Applied Researchers: Theory into Practice. Springer.</w:t>
      </w:r>
    </w:p>
    <w:p>
      <w:r>
        <w:t>Andrade, D. F.; Tavares, H. R.; Valle, R. C. (2000). Teoria da Resposta ao Item: conceitos e aplicações. ABE.</w:t>
      </w:r>
    </w:p>
    <w:p>
      <w:r>
        <w:t>Baker, F. B.; Kim, S.-H. (2004). Item Response Theory: Parameter Estimation Techniques. 2. ed. Marcel Dekker.</w:t>
      </w:r>
    </w:p>
    <w:p>
      <w:r>
        <w:t>Relatório Técnico 3EM-MT 2025 e relatórios refinados de Junho/2026.</w:t>
      </w:r>
    </w:p>
    <w:p>
      <w:pPr>
        <w:pStyle w:val="Heading2"/>
      </w:pPr>
      <w:r>
        <w:t>Arquivos de resultados utilizados</w:t>
      </w:r>
    </w:p>
    <w:p>
      <w:pPr>
        <w:pStyle w:val="ListBullet"/>
      </w:pPr>
      <w:r>
        <w:t>ResultadosTCM_2EM_LP/Simulado_III: EscoresBrutos_Aluno.xlsx, MedidasTCM_Item.xlsx, mDificNRDF.xlsx, mDiscNRDF.xlsx e mcpBisNRDF.xlsx.</w:t>
      </w:r>
    </w:p>
    <w:p>
      <w:pPr>
        <w:pStyle w:val="ListBullet"/>
      </w:pPr>
      <w:r>
        <w:t>ResultadosTRI_2EM_LP/Simulado_III: ResumoTheta, ResumoThetaIC, EstItens, DistriAlunosClasse e BaseRespTheta.</w:t>
      </w:r>
    </w:p>
    <w:p>
      <w:pPr>
        <w:pStyle w:val="ListBullet"/>
      </w:pPr>
      <w:r>
        <w:t>Programas/TCM_2EM_LP_S3.R e Fit_3PL_Fix_2EM_LP_S3.R.</w:t>
      </w:r>
    </w:p>
    <w:p>
      <w:pPr>
        <w:pStyle w:val="ListBullet"/>
      </w:pPr>
      <w:r>
        <w:t>Impressões gerais..odt, com as ressalvas técnicas registradas pela equipe.</w:t>
      </w:r>
    </w:p>
    <w:p>
      <w:r>
        <w:br w:type="page"/>
      </w:r>
    </w:p>
    <w:p>
      <w:pPr>
        <w:pStyle w:val="Heading1"/>
      </w:pPr>
      <w:r>
        <w:t>Apêndice A. Medidas TCM por item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200"/>
        <w:gridCol w:w="1800"/>
        <w:gridCol w:w="2000"/>
        <w:gridCol w:w="2460"/>
      </w:tblGrid>
      <w:tr>
        <w:trPr>
          <w:tblHeader w:val="true"/>
          <w:cantSplit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Item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Proporção de acertos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Discriminação</w:t>
            </w:r>
          </w:p>
        </w:tc>
        <w:tc>
          <w:tcPr>
            <w:tcW w:type="dxa" w:w="2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Corr. bisserial</w:t>
            </w:r>
          </w:p>
        </w:tc>
        <w:tc>
          <w:tcPr>
            <w:tcW w:type="dxa" w:w="2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Corr. ponto-bisserial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0,780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0,538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0,734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0,525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0,572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0,552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0,562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0,446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0,612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0,712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0,748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0,588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0,618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0,627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0,655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0,514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0,134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0,118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0,214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0,136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0,654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0,713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0,770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0,597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007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0,531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0,681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0,681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0,543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008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0,727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0,671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0,809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0,604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009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0,768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0,570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0,745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0,538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0,732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0,655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0,792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0,589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0,472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0,570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0,569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0,453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0,551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0,605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0,614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0,488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0,153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0,186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0,318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0,209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0,353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0,552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0,581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0,452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0,339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0,395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0,427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0,330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0,360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0,503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0,517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0,403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017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0,388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0,633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0,650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0,511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018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0,586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0,711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0,732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0,579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019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0,631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0,674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0,720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0,563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0,516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0,506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0,515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0,411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0,429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0,531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0,538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0,427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0,400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0,549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0,566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0,447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0,522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0,696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0,692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0,552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0,535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0,541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0,560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0,446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0,581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0,774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0,799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0,633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0,652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0,659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0,721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0,560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ResultadosTCM_2EM_LP/Simulado_III/MedidasTCM_Item.xlsx.</w:t>
      </w:r>
    </w:p>
    <w:p>
      <w:r>
        <w:br w:type="page"/>
      </w:r>
    </w:p>
    <w:p>
      <w:pPr>
        <w:pStyle w:val="Heading1"/>
      </w:pPr>
      <w:r>
        <w:t>Apêndice B. Parâmetros TRI por item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300"/>
        <w:gridCol w:w="1300"/>
        <w:gridCol w:w="2500"/>
        <w:gridCol w:w="1400"/>
        <w:gridCol w:w="1960"/>
      </w:tblGrid>
      <w:tr>
        <w:trPr>
          <w:tblHeader w:val="true"/>
          <w:cantSplit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Item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a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b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b (escala 250,50)</w:t>
            </w:r>
          </w:p>
        </w:tc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c</w:t>
            </w:r>
          </w:p>
        </w:tc>
        <w:tc>
          <w:tcPr>
            <w:tcW w:type="dxa" w:w="1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Fixado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1,582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0,905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295,2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0,247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1,411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-0,691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215,5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0,109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1,476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0,066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253,3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0,179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0,972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-0,142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242,9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0,142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1,273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-0,456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227,2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0,088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1,284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0,515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275,8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0,165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1,342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-1,028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198,6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0,021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1,129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-1,425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178,8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0,016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1,278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-1,091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195,4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0,019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0,660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0,539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277,0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0,041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1,028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0,514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275,7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0,195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0,500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4,423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471,1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0,072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1,281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1,538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326,9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0,133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0,711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2,309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365,4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0,148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1,302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1,765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338,2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0,181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1,304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1,211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310,5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0,116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1,754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0,372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268,6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0,225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0,967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-0,531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223,5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0,035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0,539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0,217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260,8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0,043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0,785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0,993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299,7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0,178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0,844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1,667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333,3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0,214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1,400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0,632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281,6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0,214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0,504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1,107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305,4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0,113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1,549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0,076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253,8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0,117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1,107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-0,400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230,0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0,121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ResultadosTRI_2EM_LP/Simulado_III/EstItens_2EM_LP_S3.xlsx.</w:t>
      </w:r>
    </w:p>
    <w:p>
      <w:r>
        <w:br w:type="page"/>
      </w:r>
    </w:p>
    <w:p>
      <w:pPr>
        <w:pStyle w:val="Heading1"/>
      </w:pPr>
      <w:r>
        <w:t>Apêndice C. Distribuição por faixa de proficiência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0"/>
        <w:gridCol w:w="2200"/>
        <w:gridCol w:w="2960"/>
      </w:tblGrid>
      <w:tr>
        <w:trPr>
          <w:tblHeader w:val="true"/>
          <w:cantSplit/>
        </w:trPr>
        <w:tc>
          <w:tcPr>
            <w:tcW w:type="dxa" w:w="4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Faixa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N de alunos</w:t>
            </w:r>
          </w:p>
        </w:tc>
        <w:tc>
          <w:tcPr>
            <w:tcW w:type="dxa" w:w="2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Percentual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[0,25)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0,000%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[25,50)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0,000%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[50,100)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149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0,485%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[100,125)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923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3,007%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[125,150)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1.678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5,467%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[150,175)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2.242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7,305%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[175,200)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2.550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8,308%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[200,225)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2.696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8,784%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[225,250)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3.131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10,201%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[250,275)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3.547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11,556%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[275,300)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4.059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13,225%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[300,325)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3.983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12,977%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[325,350)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2.822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9,194%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[350,1e+03)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2.913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9,491%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DistriAlunosClasseLP2serie_S3.xlsx.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F6B76"/>
        <w:sz w:val="18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F6B76"/>
        <w:sz w:val="17"/>
      </w:rPr>
      <w:t>PIAUÍ 2026 | SIMULADO III | 2EM-LP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