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AEACF" w14:textId="513DE3C4" w:rsidR="00791B6C" w:rsidRDefault="00F92FAE">
      <w:r w:rsidRPr="00F92FAE">
        <w:rPr>
          <w:noProof/>
        </w:rPr>
        <w:drawing>
          <wp:inline distT="0" distB="0" distL="0" distR="0" wp14:anchorId="4E57B729" wp14:editId="161A7B63">
            <wp:extent cx="6068272" cy="476316"/>
            <wp:effectExtent l="0" t="0" r="8890" b="0"/>
            <wp:docPr id="9271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2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4DE9" w14:textId="1291189C" w:rsidR="00F92FAE" w:rsidRPr="00F92FAE" w:rsidRDefault="00F92FAE" w:rsidP="00F92FAE">
      <w:pPr>
        <w:rPr>
          <w:b/>
          <w:bCs/>
          <w:lang w:val="lt-LT"/>
        </w:rPr>
      </w:pPr>
      <w:r w:rsidRPr="00F92FAE">
        <w:rPr>
          <w:b/>
          <w:bCs/>
          <w:lang w:val="lt-LT"/>
        </w:rPr>
        <w:t xml:space="preserve">1 dalis (5 balai). Išspręskite netiesines lygtis (1 ir 2 lentelės), kai lygties funkcija yra daugianaris </w:t>
      </w:r>
      <w:r w:rsidRPr="00F92FAE">
        <w:rPr>
          <w:rFonts w:ascii="Cambria Math" w:hAnsi="Cambria Math" w:cs="Cambria Math"/>
          <w:b/>
          <w:bCs/>
          <w:lang w:val="lt-LT"/>
        </w:rPr>
        <w:t>𝑓</w:t>
      </w:r>
      <w:r w:rsidRPr="00F92FAE">
        <w:rPr>
          <w:b/>
          <w:bCs/>
          <w:lang w:val="lt-LT"/>
        </w:rPr>
        <w:t>(</w:t>
      </w:r>
      <w:r w:rsidRPr="00F92FAE">
        <w:rPr>
          <w:rFonts w:ascii="Cambria Math" w:hAnsi="Cambria Math" w:cs="Cambria Math"/>
          <w:b/>
          <w:bCs/>
          <w:lang w:val="lt-LT"/>
        </w:rPr>
        <w:t>𝑥</w:t>
      </w:r>
      <w:r w:rsidRPr="00F92FAE">
        <w:rPr>
          <w:b/>
          <w:bCs/>
          <w:lang w:val="lt-LT"/>
        </w:rPr>
        <w:t>) = 0 ir</w:t>
      </w:r>
      <w:r>
        <w:rPr>
          <w:b/>
          <w:bCs/>
          <w:lang w:val="lt-LT"/>
        </w:rPr>
        <w:t xml:space="preserve"> </w:t>
      </w:r>
      <w:r w:rsidRPr="00F92FAE">
        <w:rPr>
          <w:b/>
          <w:bCs/>
          <w:lang w:val="lt-LT"/>
        </w:rPr>
        <w:t xml:space="preserve">transcendentinė funkcija </w:t>
      </w:r>
      <w:r w:rsidRPr="00F92FAE">
        <w:rPr>
          <w:rFonts w:ascii="Cambria Math" w:hAnsi="Cambria Math" w:cs="Cambria Math"/>
          <w:b/>
          <w:bCs/>
          <w:lang w:val="lt-LT"/>
        </w:rPr>
        <w:t>𝑔</w:t>
      </w:r>
      <w:r w:rsidRPr="00F92FAE">
        <w:rPr>
          <w:b/>
          <w:bCs/>
          <w:lang w:val="lt-LT"/>
        </w:rPr>
        <w:t>(</w:t>
      </w:r>
      <w:r w:rsidRPr="00F92FAE">
        <w:rPr>
          <w:rFonts w:ascii="Cambria Math" w:hAnsi="Cambria Math" w:cs="Cambria Math"/>
          <w:b/>
          <w:bCs/>
          <w:lang w:val="lt-LT"/>
        </w:rPr>
        <w:t>𝑥</w:t>
      </w:r>
      <w:r w:rsidRPr="00F92FAE">
        <w:rPr>
          <w:b/>
          <w:bCs/>
          <w:lang w:val="lt-LT"/>
        </w:rPr>
        <w:t>) = 0.</w:t>
      </w:r>
    </w:p>
    <w:p w14:paraId="71C293E5" w14:textId="77777777" w:rsidR="00F92FAE" w:rsidRPr="00F92FAE" w:rsidRDefault="00F92FAE" w:rsidP="00F92FAE">
      <w:pPr>
        <w:rPr>
          <w:lang w:val="lt-LT"/>
        </w:rPr>
      </w:pPr>
      <w:r w:rsidRPr="00F92FAE">
        <w:rPr>
          <w:lang w:val="lt-LT"/>
        </w:rPr>
        <w:t xml:space="preserve">1. Nustatykite daugianario </w:t>
      </w:r>
      <w:r w:rsidRPr="00F92FAE">
        <w:rPr>
          <w:rFonts w:ascii="Cambria Math" w:hAnsi="Cambria Math" w:cs="Cambria Math"/>
          <w:lang w:val="lt-LT"/>
        </w:rPr>
        <w:t>𝑓</w:t>
      </w:r>
      <w:r w:rsidRPr="00F92FAE">
        <w:rPr>
          <w:lang w:val="lt-LT"/>
        </w:rPr>
        <w:t>(</w:t>
      </w:r>
      <w:r w:rsidRPr="00F92FAE">
        <w:rPr>
          <w:rFonts w:ascii="Cambria Math" w:hAnsi="Cambria Math" w:cs="Cambria Math"/>
          <w:lang w:val="lt-LT"/>
        </w:rPr>
        <w:t>𝑥</w:t>
      </w:r>
      <w:r w:rsidRPr="00F92FAE">
        <w:rPr>
          <w:lang w:val="lt-LT"/>
        </w:rPr>
        <w:t>) šaknų intervalą, taikydami „grubų“ ir „tikslesnį“ įverčius.</w:t>
      </w:r>
    </w:p>
    <w:p w14:paraId="09C8CE5C" w14:textId="79E2AFC0" w:rsidR="00F92FAE" w:rsidRPr="00F92FAE" w:rsidRDefault="00F92FAE" w:rsidP="00F92FAE">
      <w:pPr>
        <w:rPr>
          <w:lang w:val="lt-LT"/>
        </w:rPr>
      </w:pPr>
      <w:r w:rsidRPr="00F92FAE">
        <w:rPr>
          <w:lang w:val="lt-LT"/>
        </w:rPr>
        <w:t>Grafiškai pavaizduokite daugianarį tokiame intervale, kad matytųsi abu įverčiai. Funkciją</w:t>
      </w:r>
      <w:r>
        <w:rPr>
          <w:lang w:val="lt-LT"/>
        </w:rPr>
        <w:t xml:space="preserve"> </w:t>
      </w:r>
      <w:r w:rsidRPr="00F92FAE">
        <w:rPr>
          <w:rFonts w:ascii="Cambria Math" w:hAnsi="Cambria Math" w:cs="Cambria Math"/>
          <w:lang w:val="lt-LT"/>
        </w:rPr>
        <w:t>𝑔</w:t>
      </w:r>
      <w:r w:rsidRPr="00F92FAE">
        <w:rPr>
          <w:lang w:val="lt-LT"/>
        </w:rPr>
        <w:t>(</w:t>
      </w:r>
      <w:r w:rsidRPr="00F92FAE">
        <w:rPr>
          <w:rFonts w:ascii="Cambria Math" w:hAnsi="Cambria Math" w:cs="Cambria Math"/>
          <w:lang w:val="lt-LT"/>
        </w:rPr>
        <w:t>𝑥</w:t>
      </w:r>
      <w:r w:rsidRPr="00F92FAE">
        <w:rPr>
          <w:lang w:val="lt-LT"/>
        </w:rPr>
        <w:t>) grafiškai pavaizduokite užduotyje nurodytame intervale. Esant poreikiui, grafikų ašis</w:t>
      </w:r>
      <w:r>
        <w:rPr>
          <w:lang w:val="lt-LT"/>
        </w:rPr>
        <w:t xml:space="preserve"> </w:t>
      </w:r>
      <w:r w:rsidRPr="00F92FAE">
        <w:rPr>
          <w:lang w:val="lt-LT"/>
        </w:rPr>
        <w:t>pakeiskite taip, kad būtų aiškiai matomos funkcijų šaknys;</w:t>
      </w:r>
    </w:p>
    <w:p w14:paraId="73DC8AFF" w14:textId="15AC5CC2" w:rsidR="00F92FAE" w:rsidRPr="00F92FAE" w:rsidRDefault="00F92FAE" w:rsidP="00F92FAE">
      <w:pPr>
        <w:rPr>
          <w:lang w:val="lt-LT"/>
        </w:rPr>
      </w:pPr>
      <w:r w:rsidRPr="00F92FAE">
        <w:rPr>
          <w:lang w:val="lt-LT"/>
        </w:rPr>
        <w:t>2. Naudodami skenavimo algoritmą su nekintančiu skenavimo žingsniu raskite šaknų atskyrimo</w:t>
      </w:r>
      <w:r>
        <w:rPr>
          <w:lang w:val="lt-LT"/>
        </w:rPr>
        <w:t xml:space="preserve"> </w:t>
      </w:r>
      <w:r w:rsidRPr="00F92FAE">
        <w:rPr>
          <w:lang w:val="lt-LT"/>
        </w:rPr>
        <w:t>intervalus. Daugianariui skenavimo intervalas parenkamas pagal 1 užduoties punkte gautas</w:t>
      </w:r>
      <w:r>
        <w:rPr>
          <w:lang w:val="lt-LT"/>
        </w:rPr>
        <w:t xml:space="preserve"> </w:t>
      </w:r>
      <w:r w:rsidRPr="00F92FAE">
        <w:rPr>
          <w:lang w:val="lt-LT"/>
        </w:rPr>
        <w:t xml:space="preserve">įverčių reikšmes. Funkcija </w:t>
      </w:r>
      <w:r w:rsidRPr="00F92FAE">
        <w:rPr>
          <w:rFonts w:ascii="Cambria Math" w:hAnsi="Cambria Math" w:cs="Cambria Math"/>
          <w:lang w:val="lt-LT"/>
        </w:rPr>
        <w:t>𝑔</w:t>
      </w:r>
      <w:r w:rsidRPr="00F92FAE">
        <w:rPr>
          <w:lang w:val="lt-LT"/>
        </w:rPr>
        <w:t>(</w:t>
      </w:r>
      <w:r w:rsidRPr="00F92FAE">
        <w:rPr>
          <w:rFonts w:ascii="Cambria Math" w:hAnsi="Cambria Math" w:cs="Cambria Math"/>
          <w:lang w:val="lt-LT"/>
        </w:rPr>
        <w:t>𝑥</w:t>
      </w:r>
      <w:r w:rsidRPr="00F92FAE">
        <w:rPr>
          <w:lang w:val="lt-LT"/>
        </w:rPr>
        <w:t>) skenuojama užduotyje nurodytame intervale.</w:t>
      </w:r>
    </w:p>
    <w:p w14:paraId="0CC7312B" w14:textId="6B5E8B4E" w:rsidR="00F92FAE" w:rsidRPr="00F92FAE" w:rsidRDefault="00F92FAE" w:rsidP="00F92FAE">
      <w:pPr>
        <w:rPr>
          <w:lang w:val="lt-LT"/>
        </w:rPr>
      </w:pPr>
      <w:r w:rsidRPr="00F92FAE">
        <w:rPr>
          <w:lang w:val="lt-LT"/>
        </w:rPr>
        <w:t>3. Skenavimo metodu atskirtas daugianario ir funkcijos šaknis tikslinkite užduotyje nurodytais</w:t>
      </w:r>
      <w:r>
        <w:rPr>
          <w:lang w:val="lt-LT"/>
        </w:rPr>
        <w:t xml:space="preserve"> </w:t>
      </w:r>
      <w:r w:rsidRPr="00F92FAE">
        <w:rPr>
          <w:lang w:val="lt-LT"/>
        </w:rPr>
        <w:t>metodais. Skaičiavimo scenarijuje turi būti panaudotos skaičiavimų pabaigos sąlygos.</w:t>
      </w:r>
      <w:r>
        <w:rPr>
          <w:lang w:val="lt-LT"/>
        </w:rPr>
        <w:t xml:space="preserve"> </w:t>
      </w:r>
      <w:r w:rsidRPr="00F92FAE">
        <w:rPr>
          <w:lang w:val="lt-LT"/>
        </w:rPr>
        <w:t>Skaičiavimų rezultatus pateikite lentelėje, kurioje nurodykite šaknies tikslinimui naudojamą</w:t>
      </w:r>
      <w:r>
        <w:rPr>
          <w:lang w:val="lt-LT"/>
        </w:rPr>
        <w:t xml:space="preserve"> </w:t>
      </w:r>
      <w:r w:rsidRPr="00F92FAE">
        <w:rPr>
          <w:lang w:val="lt-LT"/>
        </w:rPr>
        <w:t>metodą, pradinį artinį arba atskyrimo intervalą, gautą sprendinį (šaknį), funkcijos reikšmę ties</w:t>
      </w:r>
      <w:r>
        <w:rPr>
          <w:lang w:val="lt-LT"/>
        </w:rPr>
        <w:t xml:space="preserve"> </w:t>
      </w:r>
      <w:r w:rsidRPr="00F92FAE">
        <w:rPr>
          <w:lang w:val="lt-LT"/>
        </w:rPr>
        <w:t>šaknimi, tikslumą, iteracijų skaičių. Palyginkite, kuriuo metodu sprendiniui rasti panaudota</w:t>
      </w:r>
      <w:r>
        <w:rPr>
          <w:lang w:val="lt-LT"/>
        </w:rPr>
        <w:t xml:space="preserve"> </w:t>
      </w:r>
      <w:r w:rsidRPr="00F92FAE">
        <w:rPr>
          <w:lang w:val="lt-LT"/>
        </w:rPr>
        <w:t>mažiau iteracijų;</w:t>
      </w:r>
    </w:p>
    <w:p w14:paraId="6BF03417" w14:textId="77777777" w:rsidR="00785BF6" w:rsidRDefault="00F92FAE" w:rsidP="00F92FAE">
      <w:pPr>
        <w:rPr>
          <w:lang w:val="lt-LT"/>
        </w:rPr>
      </w:pPr>
      <w:r w:rsidRPr="00F92FAE">
        <w:rPr>
          <w:lang w:val="lt-LT"/>
        </w:rPr>
        <w:t>4. Gautas šaknų reikšmes patikrinkite naudodami išorinius išteklius ( funkcijas roots arba fzero,</w:t>
      </w:r>
      <w:r>
        <w:rPr>
          <w:lang w:val="lt-LT"/>
        </w:rPr>
        <w:t xml:space="preserve"> </w:t>
      </w:r>
      <w:r w:rsidRPr="00F92FAE">
        <w:rPr>
          <w:lang w:val="lt-LT"/>
        </w:rPr>
        <w:t>tinklapį wolframalpha.com arba kitas priemones) ir pateikite patikrinimo rezultatus.</w:t>
      </w:r>
      <w:r w:rsidRPr="00F92FAE">
        <w:rPr>
          <w:lang w:val="lt-LT"/>
        </w:rP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129"/>
        <w:gridCol w:w="1397"/>
        <w:gridCol w:w="1399"/>
        <w:gridCol w:w="1396"/>
        <w:gridCol w:w="1398"/>
        <w:gridCol w:w="1396"/>
      </w:tblGrid>
      <w:tr w:rsidR="00785BF6" w14:paraId="0271C589" w14:textId="77777777" w:rsidTr="00101265">
        <w:tc>
          <w:tcPr>
            <w:tcW w:w="9962" w:type="dxa"/>
            <w:gridSpan w:val="7"/>
          </w:tcPr>
          <w:p w14:paraId="7610ED70" w14:textId="12EC7822" w:rsidR="00785BF6" w:rsidRPr="00785BF6" w:rsidRDefault="00785BF6" w:rsidP="00785BF6">
            <w:pPr>
              <w:jc w:val="center"/>
              <w:rPr>
                <w:i/>
                <w:iCs/>
                <w:lang w:val="en-GB"/>
              </w:rPr>
            </w:pPr>
            <w:r w:rsidRPr="00785BF6">
              <w:rPr>
                <w:i/>
                <w:iCs/>
                <w:lang w:val="lt-LT"/>
              </w:rPr>
              <w:t>fx</w:t>
            </w:r>
            <w:r w:rsidRPr="00785BF6">
              <w:rPr>
                <w:i/>
                <w:iCs/>
                <w:lang w:val="en-GB"/>
              </w:rPr>
              <w:t>(x)</w:t>
            </w:r>
          </w:p>
        </w:tc>
      </w:tr>
      <w:tr w:rsidR="00B84034" w14:paraId="3A4C4E4C" w14:textId="77777777" w:rsidTr="00B84034">
        <w:tc>
          <w:tcPr>
            <w:tcW w:w="847" w:type="dxa"/>
            <w:vAlign w:val="center"/>
          </w:tcPr>
          <w:p w14:paraId="0CE45D50" w14:textId="7B011357" w:rsidR="00785BF6" w:rsidRDefault="00785BF6" w:rsidP="00B84034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Šaknis</w:t>
            </w:r>
          </w:p>
        </w:tc>
        <w:tc>
          <w:tcPr>
            <w:tcW w:w="2129" w:type="dxa"/>
            <w:vAlign w:val="center"/>
          </w:tcPr>
          <w:p w14:paraId="523FB90F" w14:textId="34B9F0A9" w:rsidR="00785BF6" w:rsidRDefault="00785BF6" w:rsidP="00B84034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Metodas</w:t>
            </w:r>
          </w:p>
        </w:tc>
        <w:tc>
          <w:tcPr>
            <w:tcW w:w="1397" w:type="dxa"/>
            <w:vAlign w:val="center"/>
          </w:tcPr>
          <w:p w14:paraId="71AB61D8" w14:textId="72B8CB54" w:rsidR="00785BF6" w:rsidRDefault="00785BF6" w:rsidP="00B84034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Atskyrimo intervalas</w:t>
            </w:r>
          </w:p>
        </w:tc>
        <w:tc>
          <w:tcPr>
            <w:tcW w:w="1399" w:type="dxa"/>
            <w:vAlign w:val="center"/>
          </w:tcPr>
          <w:p w14:paraId="56D57CCD" w14:textId="3B69253E" w:rsidR="00785BF6" w:rsidRDefault="00785BF6" w:rsidP="00B84034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Sprendinys</w:t>
            </w:r>
          </w:p>
        </w:tc>
        <w:tc>
          <w:tcPr>
            <w:tcW w:w="1396" w:type="dxa"/>
            <w:vAlign w:val="center"/>
          </w:tcPr>
          <w:p w14:paraId="57219C83" w14:textId="7A7C44C6" w:rsidR="00785BF6" w:rsidRDefault="00B84034" w:rsidP="00B84034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Funkcijos reikšmė</w:t>
            </w:r>
          </w:p>
        </w:tc>
        <w:tc>
          <w:tcPr>
            <w:tcW w:w="1398" w:type="dxa"/>
            <w:vAlign w:val="center"/>
          </w:tcPr>
          <w:p w14:paraId="3F7E37D7" w14:textId="2EE78D9D" w:rsidR="00B84034" w:rsidRDefault="00B84034" w:rsidP="00B84034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Tikslumas</w:t>
            </w:r>
          </w:p>
        </w:tc>
        <w:tc>
          <w:tcPr>
            <w:tcW w:w="1396" w:type="dxa"/>
            <w:vAlign w:val="center"/>
          </w:tcPr>
          <w:p w14:paraId="6830FC4F" w14:textId="49E306EE" w:rsidR="00B84034" w:rsidRDefault="00B84034" w:rsidP="00B84034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Iteracijos</w:t>
            </w:r>
          </w:p>
        </w:tc>
      </w:tr>
      <w:tr w:rsidR="00B84034" w14:paraId="0562D181" w14:textId="77777777" w:rsidTr="00B84034">
        <w:tc>
          <w:tcPr>
            <w:tcW w:w="847" w:type="dxa"/>
            <w:vAlign w:val="center"/>
          </w:tcPr>
          <w:p w14:paraId="36272C37" w14:textId="669580C8" w:rsidR="00785BF6" w:rsidRDefault="00785BF6" w:rsidP="00B84034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2129" w:type="dxa"/>
          </w:tcPr>
          <w:p w14:paraId="1C648D28" w14:textId="273A9670" w:rsidR="00785BF6" w:rsidRDefault="00B84034" w:rsidP="00F92FAE">
            <w:pPr>
              <w:rPr>
                <w:lang w:val="lt-LT"/>
              </w:rPr>
            </w:pPr>
            <w:r>
              <w:rPr>
                <w:lang w:val="lt-LT"/>
              </w:rPr>
              <w:t>Bisection</w:t>
            </w:r>
          </w:p>
        </w:tc>
        <w:tc>
          <w:tcPr>
            <w:tcW w:w="1397" w:type="dxa"/>
            <w:vAlign w:val="center"/>
          </w:tcPr>
          <w:p w14:paraId="5887FF50" w14:textId="77777777" w:rsidR="00785BF6" w:rsidRDefault="00785BF6" w:rsidP="00B84034">
            <w:pPr>
              <w:jc w:val="center"/>
              <w:rPr>
                <w:lang w:val="lt-LT"/>
              </w:rPr>
            </w:pPr>
          </w:p>
        </w:tc>
        <w:tc>
          <w:tcPr>
            <w:tcW w:w="1399" w:type="dxa"/>
            <w:vAlign w:val="center"/>
          </w:tcPr>
          <w:p w14:paraId="745A7A59" w14:textId="05FFD649" w:rsidR="00785BF6" w:rsidRDefault="00B84034" w:rsidP="00B84034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  <w:r w:rsidRPr="00B84034">
              <w:rPr>
                <w:lang w:val="lt-LT"/>
              </w:rPr>
              <w:t>1.180246</w:t>
            </w:r>
          </w:p>
        </w:tc>
        <w:tc>
          <w:tcPr>
            <w:tcW w:w="1396" w:type="dxa"/>
            <w:vAlign w:val="center"/>
          </w:tcPr>
          <w:p w14:paraId="4E14A3D0" w14:textId="645F7B88" w:rsidR="00785BF6" w:rsidRDefault="00B84034" w:rsidP="00B84034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  <w:tc>
          <w:tcPr>
            <w:tcW w:w="1398" w:type="dxa"/>
            <w:vAlign w:val="center"/>
          </w:tcPr>
          <w:p w14:paraId="08DD4998" w14:textId="77777777" w:rsidR="00785BF6" w:rsidRDefault="00785BF6" w:rsidP="00B84034">
            <w:pPr>
              <w:jc w:val="center"/>
              <w:rPr>
                <w:lang w:val="lt-LT"/>
              </w:rPr>
            </w:pPr>
          </w:p>
        </w:tc>
        <w:tc>
          <w:tcPr>
            <w:tcW w:w="1396" w:type="dxa"/>
            <w:vAlign w:val="center"/>
          </w:tcPr>
          <w:p w14:paraId="2C5CF654" w14:textId="77777777" w:rsidR="00785BF6" w:rsidRDefault="00785BF6" w:rsidP="00B84034">
            <w:pPr>
              <w:jc w:val="center"/>
              <w:rPr>
                <w:lang w:val="lt-LT"/>
              </w:rPr>
            </w:pPr>
          </w:p>
        </w:tc>
      </w:tr>
      <w:tr w:rsidR="00B84034" w14:paraId="59CB8EA4" w14:textId="77777777" w:rsidTr="00B84034">
        <w:tc>
          <w:tcPr>
            <w:tcW w:w="847" w:type="dxa"/>
            <w:vAlign w:val="center"/>
          </w:tcPr>
          <w:p w14:paraId="5438B698" w14:textId="1A6EDE13" w:rsidR="00785BF6" w:rsidRPr="00B84034" w:rsidRDefault="00B84034" w:rsidP="00B84034">
            <w:pPr>
              <w:jc w:val="center"/>
            </w:pPr>
            <w:r>
              <w:t>1</w:t>
            </w:r>
          </w:p>
        </w:tc>
        <w:tc>
          <w:tcPr>
            <w:tcW w:w="2129" w:type="dxa"/>
          </w:tcPr>
          <w:p w14:paraId="3B0C054D" w14:textId="487236ED" w:rsidR="00785BF6" w:rsidRDefault="00B84034" w:rsidP="00F92FAE">
            <w:pPr>
              <w:rPr>
                <w:lang w:val="lt-LT"/>
              </w:rPr>
            </w:pPr>
            <w:r>
              <w:rPr>
                <w:lang w:val="lt-LT"/>
              </w:rPr>
              <w:t>Cross section</w:t>
            </w:r>
          </w:p>
        </w:tc>
        <w:tc>
          <w:tcPr>
            <w:tcW w:w="1397" w:type="dxa"/>
            <w:vAlign w:val="center"/>
          </w:tcPr>
          <w:p w14:paraId="573420BB" w14:textId="77777777" w:rsidR="00785BF6" w:rsidRDefault="00785BF6" w:rsidP="00B84034">
            <w:pPr>
              <w:jc w:val="center"/>
              <w:rPr>
                <w:lang w:val="lt-LT"/>
              </w:rPr>
            </w:pPr>
          </w:p>
        </w:tc>
        <w:tc>
          <w:tcPr>
            <w:tcW w:w="1399" w:type="dxa"/>
            <w:vAlign w:val="center"/>
          </w:tcPr>
          <w:p w14:paraId="05D883E6" w14:textId="6E6CF0D1" w:rsidR="00785BF6" w:rsidRDefault="00B84034" w:rsidP="00B84034">
            <w:pPr>
              <w:jc w:val="center"/>
              <w:rPr>
                <w:lang w:val="lt-LT"/>
              </w:rPr>
            </w:pPr>
            <w:r w:rsidRPr="00B84034">
              <w:rPr>
                <w:lang w:val="lt-LT"/>
              </w:rPr>
              <w:t>-1.180246</w:t>
            </w:r>
          </w:p>
        </w:tc>
        <w:tc>
          <w:tcPr>
            <w:tcW w:w="1396" w:type="dxa"/>
            <w:vAlign w:val="center"/>
          </w:tcPr>
          <w:p w14:paraId="5E48B97D" w14:textId="3E13091E" w:rsidR="00785BF6" w:rsidRDefault="00B84034" w:rsidP="00B84034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  <w:tc>
          <w:tcPr>
            <w:tcW w:w="1398" w:type="dxa"/>
            <w:vAlign w:val="center"/>
          </w:tcPr>
          <w:p w14:paraId="2700CD53" w14:textId="77777777" w:rsidR="00785BF6" w:rsidRDefault="00785BF6" w:rsidP="00B84034">
            <w:pPr>
              <w:jc w:val="center"/>
              <w:rPr>
                <w:lang w:val="lt-LT"/>
              </w:rPr>
            </w:pPr>
          </w:p>
        </w:tc>
        <w:tc>
          <w:tcPr>
            <w:tcW w:w="1396" w:type="dxa"/>
            <w:vAlign w:val="center"/>
          </w:tcPr>
          <w:p w14:paraId="64D1A59E" w14:textId="77777777" w:rsidR="00785BF6" w:rsidRDefault="00785BF6" w:rsidP="00B84034">
            <w:pPr>
              <w:jc w:val="center"/>
              <w:rPr>
                <w:lang w:val="lt-LT"/>
              </w:rPr>
            </w:pPr>
          </w:p>
        </w:tc>
      </w:tr>
      <w:tr w:rsidR="00B84034" w14:paraId="108AD56C" w14:textId="77777777" w:rsidTr="00B84034">
        <w:tc>
          <w:tcPr>
            <w:tcW w:w="847" w:type="dxa"/>
            <w:vAlign w:val="center"/>
          </w:tcPr>
          <w:p w14:paraId="0B3883B3" w14:textId="7B6D258E" w:rsidR="00B84034" w:rsidRDefault="00B84034" w:rsidP="00B84034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2129" w:type="dxa"/>
          </w:tcPr>
          <w:p w14:paraId="712C0729" w14:textId="77E2C3DA" w:rsidR="00B84034" w:rsidRDefault="00B84034" w:rsidP="00B84034">
            <w:pPr>
              <w:rPr>
                <w:lang w:val="lt-LT"/>
              </w:rPr>
            </w:pPr>
            <w:r>
              <w:rPr>
                <w:lang w:val="lt-LT"/>
              </w:rPr>
              <w:t>Bisection</w:t>
            </w:r>
          </w:p>
        </w:tc>
        <w:tc>
          <w:tcPr>
            <w:tcW w:w="1397" w:type="dxa"/>
            <w:vAlign w:val="center"/>
          </w:tcPr>
          <w:p w14:paraId="411BAB14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9" w:type="dxa"/>
            <w:vAlign w:val="center"/>
          </w:tcPr>
          <w:p w14:paraId="5D7EE96B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6" w:type="dxa"/>
            <w:vAlign w:val="center"/>
          </w:tcPr>
          <w:p w14:paraId="68CD8ED3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8" w:type="dxa"/>
            <w:vAlign w:val="center"/>
          </w:tcPr>
          <w:p w14:paraId="30ED3681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6" w:type="dxa"/>
            <w:vAlign w:val="center"/>
          </w:tcPr>
          <w:p w14:paraId="1750C463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</w:tr>
      <w:tr w:rsidR="00B84034" w14:paraId="47118D57" w14:textId="77777777" w:rsidTr="00B84034">
        <w:tc>
          <w:tcPr>
            <w:tcW w:w="847" w:type="dxa"/>
            <w:vAlign w:val="center"/>
          </w:tcPr>
          <w:p w14:paraId="1D7278A6" w14:textId="22716E7C" w:rsidR="00B84034" w:rsidRDefault="00B84034" w:rsidP="00B84034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2129" w:type="dxa"/>
          </w:tcPr>
          <w:p w14:paraId="7A9375D2" w14:textId="49C9B838" w:rsidR="00B84034" w:rsidRDefault="00B84034" w:rsidP="00B84034">
            <w:pPr>
              <w:rPr>
                <w:lang w:val="lt-LT"/>
              </w:rPr>
            </w:pPr>
            <w:r>
              <w:rPr>
                <w:lang w:val="lt-LT"/>
              </w:rPr>
              <w:t>Cross section</w:t>
            </w:r>
          </w:p>
        </w:tc>
        <w:tc>
          <w:tcPr>
            <w:tcW w:w="1397" w:type="dxa"/>
            <w:vAlign w:val="center"/>
          </w:tcPr>
          <w:p w14:paraId="061BF992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9" w:type="dxa"/>
            <w:vAlign w:val="center"/>
          </w:tcPr>
          <w:p w14:paraId="7A420850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6" w:type="dxa"/>
            <w:vAlign w:val="center"/>
          </w:tcPr>
          <w:p w14:paraId="5245E0B2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8" w:type="dxa"/>
            <w:vAlign w:val="center"/>
          </w:tcPr>
          <w:p w14:paraId="5DC9DB6A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6" w:type="dxa"/>
            <w:vAlign w:val="center"/>
          </w:tcPr>
          <w:p w14:paraId="23F347AD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</w:tr>
      <w:tr w:rsidR="00B84034" w14:paraId="05065C28" w14:textId="77777777" w:rsidTr="00B84034">
        <w:tc>
          <w:tcPr>
            <w:tcW w:w="847" w:type="dxa"/>
            <w:vAlign w:val="center"/>
          </w:tcPr>
          <w:p w14:paraId="50B55BD4" w14:textId="75FA8645" w:rsidR="00B84034" w:rsidRDefault="00B84034" w:rsidP="00B84034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2129" w:type="dxa"/>
          </w:tcPr>
          <w:p w14:paraId="5890B280" w14:textId="3B8C9A08" w:rsidR="00B84034" w:rsidRDefault="00B84034" w:rsidP="00B84034">
            <w:pPr>
              <w:rPr>
                <w:lang w:val="lt-LT"/>
              </w:rPr>
            </w:pPr>
            <w:r>
              <w:rPr>
                <w:lang w:val="lt-LT"/>
              </w:rPr>
              <w:t>Bisection</w:t>
            </w:r>
          </w:p>
        </w:tc>
        <w:tc>
          <w:tcPr>
            <w:tcW w:w="1397" w:type="dxa"/>
            <w:vAlign w:val="center"/>
          </w:tcPr>
          <w:p w14:paraId="421CB436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9" w:type="dxa"/>
            <w:vAlign w:val="center"/>
          </w:tcPr>
          <w:p w14:paraId="623A620B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6" w:type="dxa"/>
            <w:vAlign w:val="center"/>
          </w:tcPr>
          <w:p w14:paraId="74D02572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8" w:type="dxa"/>
            <w:vAlign w:val="center"/>
          </w:tcPr>
          <w:p w14:paraId="7039845E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6" w:type="dxa"/>
            <w:vAlign w:val="center"/>
          </w:tcPr>
          <w:p w14:paraId="6997F106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</w:tr>
      <w:tr w:rsidR="00B84034" w14:paraId="4F575537" w14:textId="77777777" w:rsidTr="00B84034">
        <w:tc>
          <w:tcPr>
            <w:tcW w:w="847" w:type="dxa"/>
            <w:vAlign w:val="center"/>
          </w:tcPr>
          <w:p w14:paraId="7673187A" w14:textId="79C6BDB1" w:rsidR="00B84034" w:rsidRDefault="00B84034" w:rsidP="00B84034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2129" w:type="dxa"/>
          </w:tcPr>
          <w:p w14:paraId="387EFD74" w14:textId="7A453581" w:rsidR="00B84034" w:rsidRDefault="00B84034" w:rsidP="00B84034">
            <w:pPr>
              <w:rPr>
                <w:lang w:val="lt-LT"/>
              </w:rPr>
            </w:pPr>
            <w:r>
              <w:rPr>
                <w:lang w:val="lt-LT"/>
              </w:rPr>
              <w:t>Cross section</w:t>
            </w:r>
          </w:p>
        </w:tc>
        <w:tc>
          <w:tcPr>
            <w:tcW w:w="1397" w:type="dxa"/>
            <w:vAlign w:val="center"/>
          </w:tcPr>
          <w:p w14:paraId="7ACE0BCD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9" w:type="dxa"/>
            <w:vAlign w:val="center"/>
          </w:tcPr>
          <w:p w14:paraId="4DA7AE4F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6" w:type="dxa"/>
            <w:vAlign w:val="center"/>
          </w:tcPr>
          <w:p w14:paraId="34D6E9D6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8" w:type="dxa"/>
            <w:vAlign w:val="center"/>
          </w:tcPr>
          <w:p w14:paraId="33D5881E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6" w:type="dxa"/>
            <w:vAlign w:val="center"/>
          </w:tcPr>
          <w:p w14:paraId="21D3A46B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</w:tr>
      <w:tr w:rsidR="00B84034" w14:paraId="03AB9F06" w14:textId="77777777" w:rsidTr="00B84034">
        <w:tc>
          <w:tcPr>
            <w:tcW w:w="847" w:type="dxa"/>
            <w:vAlign w:val="center"/>
          </w:tcPr>
          <w:p w14:paraId="109953BE" w14:textId="2C7541C2" w:rsidR="00B84034" w:rsidRDefault="00B84034" w:rsidP="00B84034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2129" w:type="dxa"/>
          </w:tcPr>
          <w:p w14:paraId="652E60D6" w14:textId="75E12B06" w:rsidR="00B84034" w:rsidRDefault="00B84034" w:rsidP="00B84034">
            <w:pPr>
              <w:rPr>
                <w:lang w:val="lt-LT"/>
              </w:rPr>
            </w:pPr>
            <w:r>
              <w:rPr>
                <w:lang w:val="lt-LT"/>
              </w:rPr>
              <w:t>Bisection</w:t>
            </w:r>
          </w:p>
        </w:tc>
        <w:tc>
          <w:tcPr>
            <w:tcW w:w="1397" w:type="dxa"/>
            <w:vAlign w:val="center"/>
          </w:tcPr>
          <w:p w14:paraId="3F45D027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9" w:type="dxa"/>
            <w:vAlign w:val="center"/>
          </w:tcPr>
          <w:p w14:paraId="744F3CE9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6" w:type="dxa"/>
            <w:vAlign w:val="center"/>
          </w:tcPr>
          <w:p w14:paraId="1EE0A132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8" w:type="dxa"/>
            <w:vAlign w:val="center"/>
          </w:tcPr>
          <w:p w14:paraId="2A94BA08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6" w:type="dxa"/>
            <w:vAlign w:val="center"/>
          </w:tcPr>
          <w:p w14:paraId="26B18798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</w:tr>
      <w:tr w:rsidR="00B84034" w14:paraId="652E77F9" w14:textId="77777777" w:rsidTr="00B84034">
        <w:tc>
          <w:tcPr>
            <w:tcW w:w="847" w:type="dxa"/>
            <w:vAlign w:val="center"/>
          </w:tcPr>
          <w:p w14:paraId="03CF8475" w14:textId="26F08210" w:rsidR="00B84034" w:rsidRDefault="00B84034" w:rsidP="00B84034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2129" w:type="dxa"/>
          </w:tcPr>
          <w:p w14:paraId="4B1937D9" w14:textId="5C7FED3F" w:rsidR="00B84034" w:rsidRDefault="00B84034" w:rsidP="00B84034">
            <w:pPr>
              <w:rPr>
                <w:lang w:val="lt-LT"/>
              </w:rPr>
            </w:pPr>
            <w:r>
              <w:rPr>
                <w:lang w:val="lt-LT"/>
              </w:rPr>
              <w:t>Cross section</w:t>
            </w:r>
          </w:p>
        </w:tc>
        <w:tc>
          <w:tcPr>
            <w:tcW w:w="1397" w:type="dxa"/>
            <w:vAlign w:val="center"/>
          </w:tcPr>
          <w:p w14:paraId="21805447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9" w:type="dxa"/>
            <w:vAlign w:val="center"/>
          </w:tcPr>
          <w:p w14:paraId="532DF678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6" w:type="dxa"/>
            <w:vAlign w:val="center"/>
          </w:tcPr>
          <w:p w14:paraId="255528CB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8" w:type="dxa"/>
            <w:vAlign w:val="center"/>
          </w:tcPr>
          <w:p w14:paraId="4F0ACD5C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  <w:tc>
          <w:tcPr>
            <w:tcW w:w="1396" w:type="dxa"/>
            <w:vAlign w:val="center"/>
          </w:tcPr>
          <w:p w14:paraId="6C75258D" w14:textId="77777777" w:rsidR="00B84034" w:rsidRDefault="00B84034" w:rsidP="00B84034">
            <w:pPr>
              <w:jc w:val="center"/>
              <w:rPr>
                <w:lang w:val="lt-LT"/>
              </w:rPr>
            </w:pPr>
          </w:p>
        </w:tc>
      </w:tr>
    </w:tbl>
    <w:p w14:paraId="35CF0714" w14:textId="0246A9E4" w:rsidR="00F92FAE" w:rsidRDefault="00F92FAE" w:rsidP="00F92FAE">
      <w:pPr>
        <w:rPr>
          <w:lang w:val="lt-LT"/>
        </w:rPr>
      </w:pPr>
    </w:p>
    <w:p w14:paraId="41CAF172" w14:textId="54917C41" w:rsidR="00F92FAE" w:rsidRPr="00F92FAE" w:rsidRDefault="00F92FAE" w:rsidP="00F92FAE">
      <w:pPr>
        <w:rPr>
          <w:lang w:val="lt-LT"/>
        </w:rPr>
      </w:pPr>
      <w:r>
        <w:rPr>
          <w:lang w:val="lt-LT"/>
        </w:rPr>
        <w:lastRenderedPageBreak/>
        <w:t xml:space="preserve">1. </w:t>
      </w:r>
      <w:r w:rsidR="00781E55">
        <w:rPr>
          <w:noProof/>
          <w:lang w:val="lt-LT"/>
        </w:rPr>
        <w:drawing>
          <wp:inline distT="0" distB="0" distL="0" distR="0" wp14:anchorId="2D300E0B" wp14:editId="6C58A33A">
            <wp:extent cx="6324600" cy="6324600"/>
            <wp:effectExtent l="0" t="0" r="0" b="0"/>
            <wp:docPr id="851144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FAE" w:rsidRPr="00F92FAE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AE"/>
    <w:rsid w:val="00416190"/>
    <w:rsid w:val="00683906"/>
    <w:rsid w:val="0070559E"/>
    <w:rsid w:val="00781E55"/>
    <w:rsid w:val="00785BF6"/>
    <w:rsid w:val="00791B6C"/>
    <w:rsid w:val="00B84034"/>
    <w:rsid w:val="00F9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677"/>
  <w15:chartTrackingRefBased/>
  <w15:docId w15:val="{26CCDDB8-4C85-41E1-85AB-39405F63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F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85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Kristupas Kondratavičius</dc:creator>
  <cp:keywords/>
  <dc:description/>
  <cp:lastModifiedBy>Kristupas Kondratavičius</cp:lastModifiedBy>
  <cp:revision>3</cp:revision>
  <dcterms:created xsi:type="dcterms:W3CDTF">2024-09-12T10:33:00Z</dcterms:created>
  <dcterms:modified xsi:type="dcterms:W3CDTF">2024-09-17T20:10:00Z</dcterms:modified>
</cp:coreProperties>
</file>