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606E" w14:textId="48EC62F5" w:rsidR="00C450E7" w:rsidRPr="00811486" w:rsidRDefault="00811486" w:rsidP="00811486">
      <w:pPr>
        <w:pStyle w:val="Heading1"/>
      </w:pPr>
      <w:r w:rsidRPr="00811486">
        <w:t>Module 2 Applied Analysis: Signal vs. Noise and Visual Emphasis</w:t>
      </w:r>
    </w:p>
    <w:p w14:paraId="3A4B4CBF" w14:textId="77777777" w:rsidR="0049077C" w:rsidRPr="00A43384" w:rsidRDefault="0049077C" w:rsidP="008E7908">
      <w:pPr>
        <w:pStyle w:val="Heading2"/>
      </w:pPr>
      <w:r w:rsidRPr="00A43384">
        <w:t>Revised Chart</w:t>
      </w:r>
    </w:p>
    <w:p w14:paraId="0790AF09" w14:textId="433ECC8E" w:rsidR="000873CE" w:rsidRPr="00811486" w:rsidRDefault="000873CE" w:rsidP="000873CE">
      <w:r w:rsidRPr="00811486">
        <w:t xml:space="preserve">I created a bar chart displaying department performance scores. All departments are shown in a neutral gray color, while the Finance department is highlighted in a contrasting color to draw attention to its lower score. The chart uses a clear, concise title and </w:t>
      </w:r>
      <w:r w:rsidR="00977C44" w:rsidRPr="00811486">
        <w:t>adds</w:t>
      </w:r>
      <w:r w:rsidRPr="00811486">
        <w:t xml:space="preserve"> a subtitle that summarizes the insight:</w:t>
      </w:r>
      <w:r w:rsidR="00977C44" w:rsidRPr="00811486">
        <w:t xml:space="preserve"> </w:t>
      </w:r>
      <w:r w:rsidRPr="00811486">
        <w:t>“Operations Requires Attention: Lowest Department Performance Score”</w:t>
      </w:r>
    </w:p>
    <w:p w14:paraId="377AA5B4" w14:textId="77777777" w:rsidR="00CF29AB" w:rsidRDefault="00CF29AB" w:rsidP="0049077C"/>
    <w:p w14:paraId="18E79281" w14:textId="787CAFAF" w:rsidR="00CF29AB" w:rsidRDefault="00682A6E" w:rsidP="00977C44">
      <w:pPr>
        <w:jc w:val="center"/>
      </w:pPr>
      <w:r>
        <w:rPr>
          <w:noProof/>
        </w:rPr>
        <w:drawing>
          <wp:inline distT="0" distB="0" distL="0" distR="0" wp14:anchorId="626CB58C" wp14:editId="52D6FB26">
            <wp:extent cx="4271963" cy="2090738"/>
            <wp:effectExtent l="0" t="0" r="14605" b="5080"/>
            <wp:docPr id="1123414611" name="Chart 1">
              <a:extLst xmlns:a="http://schemas.openxmlformats.org/drawingml/2006/main">
                <a:ext uri="{FF2B5EF4-FFF2-40B4-BE49-F238E27FC236}">
                  <a16:creationId xmlns:a16="http://schemas.microsoft.com/office/drawing/2014/main" id="{572022CD-F87E-ABED-9F18-987BBCDE7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D8920B2" w14:textId="3990F33B" w:rsidR="00561113" w:rsidRDefault="00561113" w:rsidP="00C450E7"/>
    <w:p w14:paraId="4000FCE3" w14:textId="353CCE89" w:rsidR="00C450E7" w:rsidRPr="007A458C" w:rsidRDefault="00C450E7" w:rsidP="008E7908">
      <w:pPr>
        <w:pStyle w:val="Heading2"/>
      </w:pPr>
      <w:r w:rsidRPr="007A458C">
        <w:t>1. Design Choices</w:t>
      </w:r>
    </w:p>
    <w:p w14:paraId="6FBF7A2D" w14:textId="439D2E24" w:rsidR="00C450E7" w:rsidRDefault="000873CE" w:rsidP="00C450E7">
      <w:r>
        <w:t xml:space="preserve">To improve clarity, </w:t>
      </w:r>
      <w:r w:rsidR="00C450E7">
        <w:t>I removed the unnecessary elements from Chart A, including the decorative background, redundant legend, excessive gridlines, multiple unrelated colors, long title, and extra annotation. These elements created visual noise and made the main message harder to identify. Removing them improves the signal-to-noise ratio and allows the viewer to focus on the department scores rather than the chart decoration.</w:t>
      </w:r>
    </w:p>
    <w:p w14:paraId="1FBF09CF" w14:textId="77777777" w:rsidR="00C450E7" w:rsidRDefault="00C450E7" w:rsidP="00C450E7"/>
    <w:p w14:paraId="7EE81A25" w14:textId="77777777" w:rsidR="00C450E7" w:rsidRPr="007A458C" w:rsidRDefault="00C450E7" w:rsidP="008E7908">
      <w:pPr>
        <w:pStyle w:val="Heading2"/>
      </w:pPr>
      <w:r w:rsidRPr="007A458C">
        <w:t>2. Visual Emphasis</w:t>
      </w:r>
    </w:p>
    <w:p w14:paraId="15DBA150" w14:textId="6BF61384" w:rsidR="00C450E7" w:rsidRDefault="00C450E7" w:rsidP="00C450E7">
      <w:r>
        <w:t>Compared to Chart B, I added visual emphasis by highlighting the Operations bar. Chart B was readable, but because all bars used the same muted color, the viewer had to scan each value to determine which department required attention. Highlighting Operations uses a pre-attentive attribute, color contrast, to direct attention immediately to the most important data point.</w:t>
      </w:r>
      <w:r w:rsidR="00CF29AB" w:rsidRPr="00CF29AB">
        <w:t xml:space="preserve"> </w:t>
      </w:r>
      <w:r w:rsidR="00CF29AB">
        <w:t xml:space="preserve">All departments are shown in a neutral gray color, while the Finance department is highlighted in a contrasting color to draw attention to its lower score. </w:t>
      </w:r>
    </w:p>
    <w:p w14:paraId="25C824C6" w14:textId="77777777" w:rsidR="00C450E7" w:rsidRDefault="00C450E7" w:rsidP="00C450E7"/>
    <w:p w14:paraId="0A3787F0" w14:textId="77777777" w:rsidR="00C450E7" w:rsidRPr="008E7908" w:rsidRDefault="00C450E7" w:rsidP="008E7908">
      <w:pPr>
        <w:pStyle w:val="Heading2"/>
      </w:pPr>
      <w:r w:rsidRPr="008E7908">
        <w:t>3. Managerial Insight</w:t>
      </w:r>
    </w:p>
    <w:p w14:paraId="75874792" w14:textId="0987A613" w:rsidR="00C450E7" w:rsidRDefault="00C450E7" w:rsidP="00C450E7">
      <w:r>
        <w:t>The key insight is that</w:t>
      </w:r>
      <w:r w:rsidR="003F16DF">
        <w:t xml:space="preserve"> </w:t>
      </w:r>
      <w:r w:rsidRPr="00811486">
        <w:rPr>
          <w:b/>
          <w:bCs/>
        </w:rPr>
        <w:t xml:space="preserve">Operations has the lowest performance score at 65, which is noticeably below the other </w:t>
      </w:r>
      <w:proofErr w:type="gramStart"/>
      <w:r w:rsidRPr="00811486">
        <w:rPr>
          <w:b/>
          <w:bCs/>
        </w:rPr>
        <w:t>departments</w:t>
      </w:r>
      <w:proofErr w:type="gramEnd"/>
      <w:r>
        <w:t xml:space="preserve">. </w:t>
      </w:r>
      <w:r w:rsidR="003F16DF">
        <w:t>Other</w:t>
      </w:r>
      <w:r>
        <w:t xml:space="preserve"> departments score between 77 and 81</w:t>
      </w:r>
      <w:r w:rsidR="003F16DF">
        <w:t xml:space="preserve"> (at least 20% higher)</w:t>
      </w:r>
      <w:r>
        <w:t xml:space="preserve">, so Operations </w:t>
      </w:r>
      <w:proofErr w:type="gramStart"/>
      <w:r>
        <w:t>appears</w:t>
      </w:r>
      <w:proofErr w:type="gramEnd"/>
      <w:r>
        <w:t xml:space="preserve"> to be the only department that clearly requires immediate attention.</w:t>
      </w:r>
    </w:p>
    <w:p w14:paraId="61D19430" w14:textId="77777777" w:rsidR="00C450E7" w:rsidRDefault="00C450E7" w:rsidP="00C450E7"/>
    <w:p w14:paraId="619B8864" w14:textId="2A3F292C" w:rsidR="00C450E7" w:rsidRDefault="00C450E7" w:rsidP="008E7908">
      <w:pPr>
        <w:pStyle w:val="Heading2"/>
      </w:pPr>
      <w:r w:rsidRPr="007A458C">
        <w:t>4. Recommendation</w:t>
      </w:r>
    </w:p>
    <w:p w14:paraId="677FCF53" w14:textId="26CC4B82" w:rsidR="00956C08" w:rsidRDefault="00C450E7" w:rsidP="00C450E7">
      <w:r>
        <w:t>The manager should prioritize a follow-up review of the Operations department to identify the causes of its lower performance. This could include examining workload, staffing, process issues, training needs, or resource constraints before deciding on a corrective action.</w:t>
      </w:r>
    </w:p>
    <w:sectPr w:rsidR="00956C08" w:rsidSect="00682A6E">
      <w:footerReference w:type="default" r:id="rId7"/>
      <w:pgSz w:w="12240" w:h="15840"/>
      <w:pgMar w:top="126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EC48B" w14:textId="77777777" w:rsidR="00AF6259" w:rsidRDefault="00AF6259" w:rsidP="00682A6E">
      <w:r>
        <w:separator/>
      </w:r>
    </w:p>
  </w:endnote>
  <w:endnote w:type="continuationSeparator" w:id="0">
    <w:p w14:paraId="1546C1AC" w14:textId="77777777" w:rsidR="00AF6259" w:rsidRDefault="00AF6259" w:rsidP="00682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DF0D" w14:textId="1EE821F5" w:rsidR="00682A6E" w:rsidRDefault="00682A6E" w:rsidP="00682A6E">
    <w:pPr>
      <w:tabs>
        <w:tab w:val="left" w:pos="8910"/>
      </w:tabs>
    </w:pPr>
    <w:r>
      <w:t>John Johnson</w:t>
    </w:r>
    <w:r>
      <w:tab/>
    </w:r>
    <w:sdt>
      <w:sdtPr>
        <w:id w:val="17950901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3E75" w14:textId="77777777" w:rsidR="00AF6259" w:rsidRDefault="00AF6259" w:rsidP="00682A6E">
      <w:r>
        <w:separator/>
      </w:r>
    </w:p>
  </w:footnote>
  <w:footnote w:type="continuationSeparator" w:id="0">
    <w:p w14:paraId="7DAF9E97" w14:textId="77777777" w:rsidR="00AF6259" w:rsidRDefault="00AF6259" w:rsidP="00682A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E7"/>
    <w:rsid w:val="00046FEE"/>
    <w:rsid w:val="000873CE"/>
    <w:rsid w:val="000C13AE"/>
    <w:rsid w:val="000D4FED"/>
    <w:rsid w:val="000E1419"/>
    <w:rsid w:val="001418D5"/>
    <w:rsid w:val="00190889"/>
    <w:rsid w:val="001E2C53"/>
    <w:rsid w:val="00231558"/>
    <w:rsid w:val="002A7CD5"/>
    <w:rsid w:val="002C236A"/>
    <w:rsid w:val="003442B6"/>
    <w:rsid w:val="003672AC"/>
    <w:rsid w:val="003B0795"/>
    <w:rsid w:val="003F16DF"/>
    <w:rsid w:val="004279AA"/>
    <w:rsid w:val="0049077C"/>
    <w:rsid w:val="00561113"/>
    <w:rsid w:val="005B1A08"/>
    <w:rsid w:val="00682A6E"/>
    <w:rsid w:val="007478CD"/>
    <w:rsid w:val="00782F81"/>
    <w:rsid w:val="007A458C"/>
    <w:rsid w:val="00811486"/>
    <w:rsid w:val="008E6B82"/>
    <w:rsid w:val="008E7908"/>
    <w:rsid w:val="00907EE5"/>
    <w:rsid w:val="00956C08"/>
    <w:rsid w:val="009763A2"/>
    <w:rsid w:val="00977C44"/>
    <w:rsid w:val="00A27AE2"/>
    <w:rsid w:val="00A43384"/>
    <w:rsid w:val="00AF6259"/>
    <w:rsid w:val="00C450E7"/>
    <w:rsid w:val="00CF29AB"/>
    <w:rsid w:val="00D77E27"/>
    <w:rsid w:val="00D84067"/>
    <w:rsid w:val="00E54D51"/>
    <w:rsid w:val="00EA0C7A"/>
    <w:rsid w:val="00F601CB"/>
    <w:rsid w:val="00FD7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7BF76"/>
  <w15:chartTrackingRefBased/>
  <w15:docId w15:val="{A3AC631A-0827-48C6-A2BD-D274D505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3AE"/>
  </w:style>
  <w:style w:type="paragraph" w:styleId="Heading1">
    <w:name w:val="heading 1"/>
    <w:basedOn w:val="Normal"/>
    <w:next w:val="Normal"/>
    <w:link w:val="Heading1Char"/>
    <w:uiPriority w:val="9"/>
    <w:qFormat/>
    <w:rsid w:val="00811486"/>
    <w:pPr>
      <w:spacing w:after="240"/>
      <w:jc w:val="center"/>
      <w:outlineLvl w:val="0"/>
    </w:pPr>
    <w:rPr>
      <w:b/>
      <w:bCs/>
      <w:sz w:val="24"/>
      <w:szCs w:val="24"/>
    </w:rPr>
  </w:style>
  <w:style w:type="paragraph" w:styleId="Heading2">
    <w:name w:val="heading 2"/>
    <w:basedOn w:val="Normal"/>
    <w:next w:val="Normal"/>
    <w:link w:val="Heading2Char"/>
    <w:uiPriority w:val="9"/>
    <w:unhideWhenUsed/>
    <w:qFormat/>
    <w:rsid w:val="008E7908"/>
    <w:pPr>
      <w:spacing w:after="240"/>
      <w:outlineLvl w:val="1"/>
    </w:pPr>
    <w:rPr>
      <w:b/>
      <w:bCs/>
    </w:rPr>
  </w:style>
  <w:style w:type="paragraph" w:styleId="Heading3">
    <w:name w:val="heading 3"/>
    <w:basedOn w:val="Normal"/>
    <w:next w:val="Normal"/>
    <w:link w:val="Heading3Char"/>
    <w:uiPriority w:val="9"/>
    <w:semiHidden/>
    <w:unhideWhenUsed/>
    <w:qFormat/>
    <w:rsid w:val="00C45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0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0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0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0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486"/>
    <w:rPr>
      <w:b/>
      <w:bCs/>
      <w:sz w:val="24"/>
      <w:szCs w:val="24"/>
    </w:rPr>
  </w:style>
  <w:style w:type="character" w:customStyle="1" w:styleId="Heading2Char">
    <w:name w:val="Heading 2 Char"/>
    <w:basedOn w:val="DefaultParagraphFont"/>
    <w:link w:val="Heading2"/>
    <w:uiPriority w:val="9"/>
    <w:rsid w:val="008E7908"/>
    <w:rPr>
      <w:b/>
      <w:bCs/>
    </w:rPr>
  </w:style>
  <w:style w:type="character" w:customStyle="1" w:styleId="Heading3Char">
    <w:name w:val="Heading 3 Char"/>
    <w:basedOn w:val="DefaultParagraphFont"/>
    <w:link w:val="Heading3"/>
    <w:uiPriority w:val="9"/>
    <w:semiHidden/>
    <w:rsid w:val="00C45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0E7"/>
    <w:rPr>
      <w:rFonts w:eastAsiaTheme="majorEastAsia" w:cstheme="majorBidi"/>
      <w:color w:val="272727" w:themeColor="text1" w:themeTint="D8"/>
    </w:rPr>
  </w:style>
  <w:style w:type="paragraph" w:styleId="Title">
    <w:name w:val="Title"/>
    <w:basedOn w:val="Normal"/>
    <w:next w:val="Normal"/>
    <w:link w:val="TitleChar"/>
    <w:uiPriority w:val="10"/>
    <w:qFormat/>
    <w:rsid w:val="00C450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0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0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0E7"/>
    <w:rPr>
      <w:i/>
      <w:iCs/>
      <w:color w:val="404040" w:themeColor="text1" w:themeTint="BF"/>
    </w:rPr>
  </w:style>
  <w:style w:type="paragraph" w:styleId="ListParagraph">
    <w:name w:val="List Paragraph"/>
    <w:basedOn w:val="Normal"/>
    <w:uiPriority w:val="34"/>
    <w:qFormat/>
    <w:rsid w:val="00C450E7"/>
    <w:pPr>
      <w:ind w:left="720"/>
      <w:contextualSpacing/>
    </w:pPr>
  </w:style>
  <w:style w:type="character" w:styleId="IntenseEmphasis">
    <w:name w:val="Intense Emphasis"/>
    <w:basedOn w:val="DefaultParagraphFont"/>
    <w:uiPriority w:val="21"/>
    <w:qFormat/>
    <w:rsid w:val="00C450E7"/>
    <w:rPr>
      <w:i/>
      <w:iCs/>
      <w:color w:val="0F4761" w:themeColor="accent1" w:themeShade="BF"/>
    </w:rPr>
  </w:style>
  <w:style w:type="paragraph" w:styleId="IntenseQuote">
    <w:name w:val="Intense Quote"/>
    <w:basedOn w:val="Normal"/>
    <w:next w:val="Normal"/>
    <w:link w:val="IntenseQuoteChar"/>
    <w:uiPriority w:val="30"/>
    <w:qFormat/>
    <w:rsid w:val="00C45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0E7"/>
    <w:rPr>
      <w:i/>
      <w:iCs/>
      <w:color w:val="0F4761" w:themeColor="accent1" w:themeShade="BF"/>
    </w:rPr>
  </w:style>
  <w:style w:type="character" w:styleId="IntenseReference">
    <w:name w:val="Intense Reference"/>
    <w:basedOn w:val="DefaultParagraphFont"/>
    <w:uiPriority w:val="32"/>
    <w:qFormat/>
    <w:rsid w:val="00C450E7"/>
    <w:rPr>
      <w:b/>
      <w:bCs/>
      <w:smallCaps/>
      <w:color w:val="0F4761" w:themeColor="accent1" w:themeShade="BF"/>
      <w:spacing w:val="5"/>
    </w:rPr>
  </w:style>
  <w:style w:type="paragraph" w:styleId="Header">
    <w:name w:val="header"/>
    <w:basedOn w:val="Normal"/>
    <w:link w:val="HeaderChar"/>
    <w:uiPriority w:val="99"/>
    <w:unhideWhenUsed/>
    <w:rsid w:val="00682A6E"/>
    <w:pPr>
      <w:tabs>
        <w:tab w:val="center" w:pos="4680"/>
        <w:tab w:val="right" w:pos="9360"/>
      </w:tabs>
    </w:pPr>
  </w:style>
  <w:style w:type="character" w:customStyle="1" w:styleId="HeaderChar">
    <w:name w:val="Header Char"/>
    <w:basedOn w:val="DefaultParagraphFont"/>
    <w:link w:val="Header"/>
    <w:uiPriority w:val="99"/>
    <w:rsid w:val="00682A6E"/>
  </w:style>
  <w:style w:type="paragraph" w:styleId="Footer">
    <w:name w:val="footer"/>
    <w:basedOn w:val="Normal"/>
    <w:link w:val="FooterChar"/>
    <w:uiPriority w:val="99"/>
    <w:unhideWhenUsed/>
    <w:rsid w:val="00682A6E"/>
    <w:pPr>
      <w:tabs>
        <w:tab w:val="center" w:pos="4680"/>
        <w:tab w:val="right" w:pos="9360"/>
      </w:tabs>
    </w:pPr>
  </w:style>
  <w:style w:type="character" w:customStyle="1" w:styleId="FooterChar">
    <w:name w:val="Footer Char"/>
    <w:basedOn w:val="DefaultParagraphFont"/>
    <w:link w:val="Footer"/>
    <w:uiPriority w:val="99"/>
    <w:rsid w:val="00682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ilva\iCloudDrive\UHCL\MGMT%2052A2%20-%20Data%20Visualization%20for%20Managers\Concept%20Checks%20and%20Applied%20Analyses\Module2_dataset.csv"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[Module2_dataset.csv]Sheet4!PivotTable4</c:name>
    <c:fmtId val="-1"/>
  </c:pivotSource>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200" b="1"/>
              <a:t>Average Performance Scores by Department</a:t>
            </a:r>
          </a:p>
        </c:rich>
      </c:tx>
      <c:layout>
        <c:manualLayout>
          <c:xMode val="edge"/>
          <c:yMode val="edge"/>
          <c:x val="0.12190432491464059"/>
          <c:y val="3.6452004860267312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bg1">
              <a:lumMod val="6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C00000"/>
          </a:solidFill>
          <a:ln>
            <a:noFill/>
          </a:ln>
          <a:effectLst/>
        </c:spPr>
        <c:dLbl>
          <c:idx val="0"/>
          <c:layout>
            <c:manualLayout>
              <c:x val="1.9444444444444445E-2"/>
              <c:y val="-4.1666666666666664E-2"/>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0940"/>
                    <a:gd name="adj2" fmla="val 162428"/>
                  </a:avLst>
                </a:prstGeom>
                <a:noFill/>
                <a:ln>
                  <a:noFill/>
                </a:ln>
              </c15:spPr>
            </c:ext>
          </c:extLst>
        </c:dLbl>
      </c:pivotFmt>
      <c:pivotFmt>
        <c:idx val="2"/>
        <c:spPr>
          <a:solidFill>
            <a:schemeClr val="bg1">
              <a:lumMod val="6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C00000"/>
          </a:solidFill>
          <a:ln>
            <a:noFill/>
          </a:ln>
          <a:effectLst/>
        </c:spPr>
        <c:dLbl>
          <c:idx val="0"/>
          <c:layout>
            <c:manualLayout>
              <c:x val="1.9444444444444445E-2"/>
              <c:y val="-4.1666666666666664E-2"/>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0940"/>
                    <a:gd name="adj2" fmla="val 162428"/>
                  </a:avLst>
                </a:prstGeom>
                <a:noFill/>
                <a:ln>
                  <a:noFill/>
                </a:ln>
              </c15:spPr>
            </c:ext>
          </c:extLst>
        </c:dLbl>
      </c:pivotFmt>
      <c:pivotFmt>
        <c:idx val="4"/>
        <c:spPr>
          <a:solidFill>
            <a:schemeClr val="bg1">
              <a:lumMod val="6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C00000"/>
          </a:solidFill>
          <a:ln>
            <a:noFill/>
          </a:ln>
          <a:effectLst/>
        </c:spPr>
        <c:dLbl>
          <c:idx val="0"/>
          <c:layout>
            <c:manualLayout>
              <c:x val="1.9444444444444445E-2"/>
              <c:y val="-4.1666666666666664E-2"/>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0940"/>
                    <a:gd name="adj2" fmla="val 162428"/>
                  </a:avLst>
                </a:prstGeom>
                <a:noFill/>
                <a:ln>
                  <a:noFill/>
                </a:ln>
              </c15:spPr>
            </c:ext>
          </c:extLst>
        </c:dLbl>
      </c:pivotFmt>
    </c:pivotFmts>
    <c:plotArea>
      <c:layout>
        <c:manualLayout>
          <c:layoutTarget val="inner"/>
          <c:xMode val="edge"/>
          <c:yMode val="edge"/>
          <c:x val="7.9136482939632546E-2"/>
          <c:y val="0.27254410906969961"/>
          <c:w val="0.89030796150481195"/>
          <c:h val="0.62144757946923301"/>
        </c:manualLayout>
      </c:layout>
      <c:barChart>
        <c:barDir val="col"/>
        <c:grouping val="clustered"/>
        <c:varyColors val="0"/>
        <c:ser>
          <c:idx val="0"/>
          <c:order val="0"/>
          <c:tx>
            <c:strRef>
              <c:f>Sheet4!$B$3</c:f>
              <c:strCache>
                <c:ptCount val="1"/>
                <c:pt idx="0">
                  <c:v>Total</c:v>
                </c:pt>
              </c:strCache>
            </c:strRef>
          </c:tx>
          <c:spPr>
            <a:solidFill>
              <a:schemeClr val="bg1">
                <a:lumMod val="65000"/>
              </a:schemeClr>
            </a:solidFill>
            <a:ln>
              <a:noFill/>
            </a:ln>
            <a:effectLst/>
          </c:spPr>
          <c:invertIfNegative val="0"/>
          <c:dPt>
            <c:idx val="4"/>
            <c:invertIfNegative val="0"/>
            <c:bubble3D val="0"/>
            <c:spPr>
              <a:solidFill>
                <a:srgbClr val="C00000"/>
              </a:solidFill>
              <a:ln>
                <a:noFill/>
              </a:ln>
              <a:effectLst/>
            </c:spPr>
            <c:extLst>
              <c:ext xmlns:c16="http://schemas.microsoft.com/office/drawing/2014/chart" uri="{C3380CC4-5D6E-409C-BE32-E72D297353CC}">
                <c16:uniqueId val="{00000001-082B-498C-954C-6C74D44A0BF4}"/>
              </c:ext>
            </c:extLst>
          </c:dPt>
          <c:dLbls>
            <c:dLbl>
              <c:idx val="4"/>
              <c:layout>
                <c:manualLayout>
                  <c:x val="1.9444444444444445E-2"/>
                  <c:y val="-4.1666666666666664E-2"/>
                </c:manualLayout>
              </c:layout>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19798"/>
                        <a:gd name="adj2" fmla="val 123468"/>
                      </a:avLst>
                    </a:prstGeom>
                    <a:noFill/>
                    <a:ln>
                      <a:noFill/>
                    </a:ln>
                  </c15:spPr>
                </c:ext>
                <c:ext xmlns:c16="http://schemas.microsoft.com/office/drawing/2014/chart" uri="{C3380CC4-5D6E-409C-BE32-E72D297353CC}">
                  <c16:uniqueId val="{00000001-082B-498C-954C-6C74D44A0BF4}"/>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Sheet4!$A$4:$A$10</c:f>
              <c:strCache>
                <c:ptCount val="6"/>
                <c:pt idx="0">
                  <c:v>Finance</c:v>
                </c:pt>
                <c:pt idx="1">
                  <c:v>HR</c:v>
                </c:pt>
                <c:pt idx="2">
                  <c:v>IT</c:v>
                </c:pt>
                <c:pt idx="3">
                  <c:v>Marketing</c:v>
                </c:pt>
                <c:pt idx="4">
                  <c:v>Operations</c:v>
                </c:pt>
                <c:pt idx="5">
                  <c:v>Sales</c:v>
                </c:pt>
              </c:strCache>
            </c:strRef>
          </c:cat>
          <c:val>
            <c:numRef>
              <c:f>Sheet4!$B$4:$B$10</c:f>
              <c:numCache>
                <c:formatCode>0</c:formatCode>
                <c:ptCount val="6"/>
                <c:pt idx="0">
                  <c:v>79.2</c:v>
                </c:pt>
                <c:pt idx="1">
                  <c:v>76.999999999999986</c:v>
                </c:pt>
                <c:pt idx="2">
                  <c:v>80.233333333333334</c:v>
                </c:pt>
                <c:pt idx="3">
                  <c:v>81.06</c:v>
                </c:pt>
                <c:pt idx="4">
                  <c:v>65.039999999999978</c:v>
                </c:pt>
                <c:pt idx="5">
                  <c:v>78</c:v>
                </c:pt>
              </c:numCache>
            </c:numRef>
          </c:val>
          <c:extLst>
            <c:ext xmlns:c16="http://schemas.microsoft.com/office/drawing/2014/chart" uri="{C3380CC4-5D6E-409C-BE32-E72D297353CC}">
              <c16:uniqueId val="{00000002-082B-498C-954C-6C74D44A0BF4}"/>
            </c:ext>
          </c:extLst>
        </c:ser>
        <c:dLbls>
          <c:showLegendKey val="0"/>
          <c:showVal val="0"/>
          <c:showCatName val="0"/>
          <c:showSerName val="0"/>
          <c:showPercent val="0"/>
          <c:showBubbleSize val="0"/>
        </c:dLbls>
        <c:gapWidth val="121"/>
        <c:overlap val="-27"/>
        <c:axId val="286469536"/>
        <c:axId val="286460416"/>
      </c:barChart>
      <c:catAx>
        <c:axId val="286469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86460416"/>
        <c:crosses val="autoZero"/>
        <c:auto val="1"/>
        <c:lblAlgn val="ctr"/>
        <c:lblOffset val="100"/>
        <c:noMultiLvlLbl val="0"/>
      </c:catAx>
      <c:valAx>
        <c:axId val="286460416"/>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86469536"/>
        <c:crosses val="autoZero"/>
        <c:crossBetween val="between"/>
        <c:majorUnit val="2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0.02293</cdr:x>
      <cdr:y>0.12771</cdr:y>
    </cdr:from>
    <cdr:to>
      <cdr:x>0.98439</cdr:x>
      <cdr:y>0.23014</cdr:y>
    </cdr:to>
    <cdr:sp macro="" textlink="">
      <cdr:nvSpPr>
        <cdr:cNvPr id="2" name="TextBox 1">
          <a:extLst xmlns:a="http://schemas.openxmlformats.org/drawingml/2006/main">
            <a:ext uri="{FF2B5EF4-FFF2-40B4-BE49-F238E27FC236}">
              <a16:creationId xmlns:a16="http://schemas.microsoft.com/office/drawing/2014/main" id="{16E1F87E-0A8D-D532-B3DD-2B754F272316}"/>
            </a:ext>
          </a:extLst>
        </cdr:cNvPr>
        <cdr:cNvSpPr txBox="1"/>
      </cdr:nvSpPr>
      <cdr:spPr>
        <a:xfrm xmlns:a="http://schemas.openxmlformats.org/drawingml/2006/main">
          <a:off x="97954" y="266970"/>
          <a:ext cx="4107016" cy="21412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marL="0" marR="0" lvl="0" indent="0" algn="ctr" defTabSz="914400" eaLnBrk="1" fontAlgn="auto" latinLnBrk="0" hangingPunct="1">
            <a:lnSpc>
              <a:spcPct val="100000"/>
            </a:lnSpc>
            <a:spcBef>
              <a:spcPts val="0"/>
            </a:spcBef>
            <a:spcAft>
              <a:spcPts val="0"/>
            </a:spcAft>
            <a:buClrTx/>
            <a:buSzTx/>
            <a:buFontTx/>
            <a:buNone/>
            <a:tabLst/>
            <a:defRPr/>
          </a:pPr>
          <a:r>
            <a:rPr lang="en-US" sz="900"/>
            <a:t>Operations Has the Lowest Average Performance Score</a:t>
          </a:r>
          <a:endParaRPr lang="en-US" sz="900">
            <a:effectLst/>
            <a:latin typeface="+mn-lt"/>
            <a:ea typeface="+mn-ea"/>
            <a:cs typeface="+mn-cs"/>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8770D6-6456-4E41-9A49-EE33B7890AB7}">
  <we:reference id="02371ff0-d37a-430c-87aa-c9f4e6ddf163" version="1.1.0.3" store="EXCatalog" storeType="EXCatalog"/>
  <we:alternateReferences>
    <we:reference id="WA104379193" version="1.1.0.3"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1362</TotalTime>
  <Pages>1</Pages>
  <Words>305</Words>
  <Characters>1742</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Module 2 Applied Analysis: Signal vs. Noise and Visual Emphasis</vt:lpstr>
      <vt:lpstr>    Revised Chart</vt:lpstr>
      <vt:lpstr>    1. Design Choices</vt:lpstr>
      <vt:lpstr>    2. Visual Emphasis</vt:lpstr>
      <vt:lpstr>    3. Managerial Insight</vt:lpstr>
      <vt:lpstr>    4. Recommendation</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Chambers</dc:creator>
  <cp:keywords/>
  <dc:description/>
  <cp:lastModifiedBy>Silvana Chambers</cp:lastModifiedBy>
  <cp:revision>7</cp:revision>
  <dcterms:created xsi:type="dcterms:W3CDTF">2026-06-04T16:48:00Z</dcterms:created>
  <dcterms:modified xsi:type="dcterms:W3CDTF">2026-06-05T15:45:00Z</dcterms:modified>
</cp:coreProperties>
</file>