
<file path=[Content_Types].xml><?xml version="1.0" encoding="utf-8"?>
<Types xmlns="http://schemas.openxmlformats.org/package/2006/content-types">
  <Default Extension="rels" ContentType="application/vnd.openxmlformats-package.relationships+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
<Relationships xmlns="http://schemas.openxmlformats.org/package/2006/relationships">
    <Relationship Target="word/document.xml" Type="http://schemas.openxmlformats.org/officeDocument/2006/relationships/officeDocument" Id="rId1"/>
    <Relationship Target="docProps/core.xml" Type="http://schemas.openxmlformats.org/package/2006/relationships/metadata/core-properties" Id="rId2"/>
    <Relationship Target="docProps/app.xml" Type="http://schemas.openxmlformats.org/officeDocument/2006/relationships/extended-properties" Id="rId3"/>
</Relationships>

</file>

<file path=word/document.xml><?xml version="1.0" encoding="utf-8"?>
<w:document xmlns:w="http://schemas.openxmlformats.org/wordprocessingml/2006/main" xmlns:m="http://schemas.openxmlformats.org/officeDocument/2006/math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body>
    <w:p>
      <w:pPr>
        <w:pStyle w:val="Title"/>
      </w:pPr>
      <w:r>
        <w:t/>
      </w:r>
      <w:r>
        <w:t xml:space="preserve"/>
      </w:r>
      <w:r>
        <w:t xml:space="preserve">Reproducible Stata Word Tables: demo</w:t>
      </w:r>
    </w:p>
    <w:p>
      <w:r>
        <w:t/>
      </w:r>
      <w:r>
        <w:rPr>
          <w:b w:val="true"/>
        </w:rPr>
        <w:t xml:space="preserve">Synthetic data only. </w:t>
      </w:r>
      <w:r>
        <w:t xml:space="preserve">Every table below was regenerated from one parameter block. </w:t>
      </w:r>
      <w:r>
        <w:t xml:space="preserve">category_cut = 2; </w:t>
      </w:r>
      <w:r>
        <w:t xml:space="preserve">exclusions applied = 1; </w:t>
      </w:r>
      <w:r>
        <w:t xml:space="preserve">analysis N = 373.</w:t>
      </w:r>
    </w:p>
    <w:tbl>
      <w:tblPr>
        <w:tblStyle w:val="TableGrid"/>
        <w:tblW w:w="0" w:type="auto"/>
        <w:jc w:val="center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gridSpan w:val="5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</w:tcPr>
          <w:p>
            <w:pPr>
              <w:spacing w:after="0"/>
            </w:pPr>
            <w:r>
              <w:t xml:space="preserve">Table 1. Sample characteristics by burden category</w:t>
            </w:r>
          </w:p>
        </w:tc>
      </w:tr>
      <w:tr>
        <w:tc>
          <w:tcPr>
            <w:tcW w:w="0" w:type="auto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gridSpan w:val="4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Burden category</w:t>
            </w:r>
          </w:p>
        </w:tc>
      </w:tr>
      <w:tr>
        <w:tc>
          <w:tcPr>
            <w:tcW w:w="0" w:type="auto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0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1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2+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Total</w:t>
            </w:r>
          </w:p>
        </w:tc>
      </w:tr>
      <w:tr>
        <w:tc>
          <w:tcPr>
            <w:tcW w:w="0" w:type="auto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Age, years</w:t>
            </w:r>
          </w:p>
        </w:tc>
        <w:tc>
          <w:tcPr>
            <w:tcW w:w="0" w:type="auto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51.04 (13.17)</w:t>
            </w:r>
          </w:p>
        </w:tc>
        <w:tc>
          <w:tcPr>
            <w:tcW w:w="0" w:type="auto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48.77 (13.08)</w:t>
            </w:r>
          </w:p>
        </w:tc>
        <w:tc>
          <w:tcPr>
            <w:tcW w:w="0" w:type="auto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50.69 (11.57)</w:t>
            </w:r>
          </w:p>
        </w:tc>
        <w:tc>
          <w:tcPr>
            <w:tcW w:w="0" w:type="auto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50.17 (12.39)</w:t>
            </w:r>
          </w:p>
        </w:tc>
      </w:tr>
      <w:tr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Study group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Group A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48.68% (37)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40.00% (46)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53.30% (97)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48.26% (180)</w:t>
            </w:r>
          </w:p>
        </w:tc>
      </w:tr>
      <w:tr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Group B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51.32% (39)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60.00% (69)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46.70% (85)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51.74% (193)</w:t>
            </w:r>
          </w:p>
        </w:tc>
      </w:tr>
      <w:tr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Exposure group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Low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23.68% (18)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30.43% (35)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34.62% (63)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31.10% (116)</w:t>
            </w:r>
          </w:p>
        </w:tc>
      </w:tr>
      <w:tr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Moderate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44.74% (34)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28.70% (33)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29.67% (54)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32.44% (121)</w:t>
            </w:r>
          </w:p>
        </w:tc>
      </w:tr>
      <w:tr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High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31.58% (24)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40.87% (47)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35.71% (65)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36.46% (136)</w:t>
            </w:r>
          </w:p>
        </w:tc>
      </w:tr>
      <w:tr>
        <w:tc>
          <w:tcPr>
            <w:tcW w:w="0" w:type="auto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Synthetic outcome score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5.17 (1.67)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5.93 (2.32)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7.20 (2.95)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6.39 (2.67)</w:t>
            </w:r>
          </w:p>
        </w:tc>
      </w:tr>
    </w:tbl>
    <w:p>
      <w:r>
        <w:t/>
      </w:r>
    </w:p>
    <w:p>
      <w:r>
        <w:br w:type="page"/>
      </w:r>
    </w:p>
    <w:tbl>
      <w:tblPr>
        <w:tblStyle w:val="TableGrid"/>
        <w:tblW w:w="0" w:type="auto"/>
        <w:jc w:val="center"/>
      </w:tblPr>
      <w:tblGrid>
        <w:gridCol w:w="4680"/>
        <w:gridCol w:w="4680"/>
      </w:tblGrid>
      <w:tr>
        <w:tc>
          <w:tcPr>
            <w:gridSpan w:val="2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</w:tcPr>
          <w:p>
            <w:pPr>
              <w:spacing w:after="0"/>
            </w:pPr>
            <w:r>
              <w:t xml:space="preserve">Table 2. Primary model</w:t>
            </w:r>
          </w:p>
        </w:tc>
      </w:tr>
      <w:tr>
        <w:tc>
          <w:tcPr>
            <w:tcW w:w="0" w:type="auto"/>
            <w:tcBorders>
              <w:top w:val="single" w:color="000000"/>
              <w:left w:val="nil" w:color="000000"/>
              <w:bottom w:val="single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single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Log synthetic outcome score</w:t>
            </w:r>
          </w:p>
        </w:tc>
      </w:tr>
      <w:tr>
        <w:tc>
          <w:tcPr>
            <w:tcW w:w="0" w:type="auto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Burden category</w:t>
            </w:r>
          </w:p>
        </w:tc>
        <w:tc>
          <w:tcPr>
            <w:tcW w:w="0" w:type="auto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1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0.11</w:t>
            </w:r>
          </w:p>
        </w:tc>
      </w:tr>
      <w:tr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[-0.00, 0.23]</w:t>
            </w:r>
          </w:p>
        </w:tc>
      </w:tr>
      <w:tr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0.056</w:t>
            </w:r>
          </w:p>
        </w:tc>
      </w:tr>
      <w:tr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2+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0.31</w:t>
            </w:r>
          </w:p>
        </w:tc>
      </w:tr>
      <w:tr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[0.19, 0.43]</w:t>
            </w:r>
          </w:p>
        </w:tc>
      </w:tr>
      <w:tr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b w:val="true"/>
              </w:rPr>
              <w:t xml:space="preserve">&lt;0.001</w:t>
            </w:r>
          </w:p>
        </w:tc>
      </w:tr>
      <w:tr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Age, years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0.00</w:t>
            </w:r>
          </w:p>
        </w:tc>
      </w:tr>
      <w:tr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[0.00, 0.01]</w:t>
            </w:r>
          </w:p>
        </w:tc>
      </w:tr>
      <w:tr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b w:val="true"/>
              </w:rPr>
              <w:t xml:space="preserve">0.030</w:t>
            </w:r>
          </w:p>
        </w:tc>
      </w:tr>
      <w:tr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Study group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Group B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0.12</w:t>
            </w:r>
          </w:p>
        </w:tc>
      </w:tr>
      <w:tr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[0.06, 0.19]</w:t>
            </w:r>
          </w:p>
        </w:tc>
      </w:tr>
      <w:tr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b w:val="true"/>
              </w:rPr>
              <w:t xml:space="preserve">0.003</w:t>
            </w:r>
          </w:p>
        </w:tc>
      </w:tr>
      <w:tr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Exposure group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Moderate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0.01</w:t>
            </w:r>
          </w:p>
        </w:tc>
      </w:tr>
      <w:tr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[-0.11, 0.13]</w:t>
            </w:r>
          </w:p>
        </w:tc>
      </w:tr>
      <w:tr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0.846</w:t>
            </w:r>
          </w:p>
        </w:tc>
      </w:tr>
      <w:tr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High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0.05</w:t>
            </w:r>
          </w:p>
        </w:tc>
      </w:tr>
      <w:tr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[-0.04, 0.14]</w:t>
            </w:r>
          </w:p>
        </w:tc>
      </w:tr>
      <w:tr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0.243</w:t>
            </w:r>
          </w:p>
        </w:tc>
      </w:tr>
      <w:tr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Intercept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1.28</w:t>
            </w:r>
          </w:p>
        </w:tc>
      </w:tr>
      <w:tr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[1.12, 1.44]</w:t>
            </w:r>
          </w:p>
        </w:tc>
      </w:tr>
      <w:tr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b w:val="true"/>
              </w:rPr>
              <w:t xml:space="preserve">&lt;0.001</w:t>
            </w:r>
          </w:p>
        </w:tc>
      </w:tr>
      <w:tr>
        <w:tc>
          <w:tcPr>
            <w:tcW w:w="0" w:type="auto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Number of observations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373</w:t>
            </w:r>
          </w:p>
        </w:tc>
      </w:tr>
      <w:tr>
        <w:tc>
          <w:tcPr>
            <w:gridSpan w:val="2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  <w:r>
              <w:t xml:space="preserve">Bold p-values indicate p &lt; 0.05.</w:t>
            </w:r>
          </w:p>
        </w:tc>
      </w:tr>
    </w:tbl>
    <w:p>
      <w:r>
        <w:t/>
      </w:r>
    </w:p>
    <w:p>
      <w:r>
        <w:br w:type="page"/>
      </w:r>
    </w:p>
    <w:tbl>
      <w:tblPr>
        <w:tblStyle w:val="TableGrid"/>
        <w:tblW w:w="0" w:type="auto"/>
        <w:jc w:val="center"/>
      </w:tblPr>
      <w:tblGrid>
        <w:gridCol w:w="4680"/>
        <w:gridCol w:w="4680"/>
      </w:tblGrid>
      <w:tr>
        <w:tc>
          <w:tcPr>
            <w:gridSpan w:val="2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</w:tcPr>
          <w:p>
            <w:pPr>
              <w:spacing w:after="0"/>
            </w:pPr>
            <w:r>
              <w:t xml:space="preserve">Table 3. Secondary model: untransformed outcome</w:t>
            </w:r>
          </w:p>
        </w:tc>
      </w:tr>
      <w:tr>
        <w:tc>
          <w:tcPr>
            <w:tcW w:w="0" w:type="auto"/>
            <w:tcBorders>
              <w:top w:val="single" w:color="000000"/>
              <w:left w:val="nil" w:color="000000"/>
              <w:bottom w:val="single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single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Synthetic outcome score</w:t>
            </w:r>
          </w:p>
        </w:tc>
      </w:tr>
      <w:tr>
        <w:tc>
          <w:tcPr>
            <w:tcW w:w="0" w:type="auto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Burden category</w:t>
            </w:r>
          </w:p>
        </w:tc>
        <w:tc>
          <w:tcPr>
            <w:tcW w:w="0" w:type="auto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1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0.76</w:t>
            </w:r>
          </w:p>
        </w:tc>
      </w:tr>
      <w:tr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[0.09, 1.43]</w:t>
            </w:r>
          </w:p>
        </w:tc>
      </w:tr>
      <w:tr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b w:val="true"/>
              </w:rPr>
              <w:t xml:space="preserve">0.031</w:t>
            </w:r>
          </w:p>
        </w:tc>
      </w:tr>
      <w:tr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2+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2.08</w:t>
            </w:r>
          </w:p>
        </w:tc>
      </w:tr>
      <w:tr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[1.38, 2.78]</w:t>
            </w:r>
          </w:p>
        </w:tc>
      </w:tr>
      <w:tr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b w:val="true"/>
              </w:rPr>
              <w:t xml:space="preserve">&lt;0.001</w:t>
            </w:r>
          </w:p>
        </w:tc>
      </w:tr>
      <w:tr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Age, years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0.03</w:t>
            </w:r>
          </w:p>
        </w:tc>
      </w:tr>
      <w:tr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[0.01, 0.06]</w:t>
            </w:r>
          </w:p>
        </w:tc>
      </w:tr>
      <w:tr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b w:val="true"/>
              </w:rPr>
              <w:t xml:space="preserve">0.021</w:t>
            </w:r>
          </w:p>
        </w:tc>
      </w:tr>
      <w:tr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Study group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Group B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0.82</w:t>
            </w:r>
          </w:p>
        </w:tc>
      </w:tr>
      <w:tr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[0.34, 1.30]</w:t>
            </w:r>
          </w:p>
        </w:tc>
      </w:tr>
      <w:tr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b w:val="true"/>
              </w:rPr>
              <w:t xml:space="preserve">0.005</w:t>
            </w:r>
          </w:p>
        </w:tc>
      </w:tr>
      <w:tr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Exposure group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Moderate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0.07</w:t>
            </w:r>
          </w:p>
        </w:tc>
      </w:tr>
      <w:tr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[-0.76, 0.91]</w:t>
            </w:r>
          </w:p>
        </w:tc>
      </w:tr>
      <w:tr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0.844</w:t>
            </w:r>
          </w:p>
        </w:tc>
      </w:tr>
      <w:tr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High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0.21</w:t>
            </w:r>
          </w:p>
        </w:tc>
      </w:tr>
      <w:tr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[-0.51, 0.92]</w:t>
            </w:r>
          </w:p>
        </w:tc>
      </w:tr>
      <w:tr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0.516</w:t>
            </w:r>
          </w:p>
        </w:tc>
      </w:tr>
      <w:tr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Intercept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2.91</w:t>
            </w:r>
          </w:p>
        </w:tc>
      </w:tr>
      <w:tr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[1.80, 4.01]</w:t>
            </w:r>
          </w:p>
        </w:tc>
      </w:tr>
      <w:tr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b w:val="true"/>
              </w:rPr>
              <w:t xml:space="preserve">&lt;0.001</w:t>
            </w:r>
          </w:p>
        </w:tc>
      </w:tr>
      <w:tr>
        <w:tc>
          <w:tcPr>
            <w:tcW w:w="0" w:type="auto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Number of observations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373</w:t>
            </w:r>
          </w:p>
        </w:tc>
      </w:tr>
      <w:tr>
        <w:tc>
          <w:tcPr>
            <w:gridSpan w:val="2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  <w:r>
              <w:t xml:space="preserve">Bold p-values indicate p &lt; 0.05.</w:t>
            </w:r>
          </w:p>
        </w:tc>
      </w:tr>
    </w:tbl>
    <w:p>
      <w:r>
        <w:t/>
      </w:r>
    </w:p>
    <w:sectPr>
      <w:pgSz w:w="12240" w:h="15840" w:code="1"/>
      <w:pgMar w:top="1440" w:right="1440" w:bottom="1440" w:left="1440"/>
    </w:sectPr>
  </w:body>
</w:document>
</file>

<file path=word/settings.xml><?xml version="1.0" encoding="utf-8"?>
<w:settings xmlns:w="http://schemas.openxmlformats.org/wordprocessingml/2006/main" xmlns:m="http://schemas.openxmlformats.org/officeDocument/2006/math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 mc:Ignorable="">
  <w:compat>
    <w:compatSetting w:name="overrideTableStyleFontSizeAndJustification" w:uri="http://schemas.microsoft.com/office/word" w:val="1"/>
  </w:compat>
</w:settings>
</file>

<file path=word/styles.xml><?xml version="1.0" encoding="utf-8"?>
<w:styles xmlns:w="http://schemas.openxmlformats.org/wordprocessingml/2006/main" xmlns:m="http://schemas.openxmlformats.org/officeDocument/2006/math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false" w:defUIPriority="99" w:defSemiHidden="true" w:defUnhideWhenUsed="true" w:defQFormat="false" w:count="267">
    <w:lsdException w:name="Normal" w:uiPriority="0" w:semiHidden="false" w:unhideWhenUsed="false" w:qFormat="true"/>
    <w:lsdException w:name="heading 1" w:uiPriority="9" w:semiHidden="false" w:unhideWhenUsed="false" w:qFormat="true"/>
    <w:lsdException w:name="heading 2" w:uiPriority="9" w:qFormat="true"/>
    <w:lsdException w:name="heading 3" w:uiPriority="9" w:qFormat="true"/>
    <w:lsdException w:name="heading 4" w:uiPriority="9" w:qFormat="true"/>
    <w:lsdException w:name="Title" w:uiPriority="10" w:semiHidden="false" w:unhideWhenUsed="false" w:qFormat="true"/>
    <w:lsdException w:name="Default Paragraph Font" w:uiPriority="1"/>
    <w:lsdException w:name="Subtitle" w:uiPriority="11" w:semiHidden="false" w:unhideWhenUsed="false" w:qFormat="true"/>
    <w:lsdException w:name="Emphasis" w:uiPriority="20" w:semiHidden="false" w:unhideWhenUsed="false" w:qFormat="true"/>
    <w:lsdException w:name="Table Grid" w:uiPriority="59" w:semiHidden="false" w:unhideWhenUsed="false"/>
  </w:latentStyles>
  <w:style w:type="paragraph" w:styleId="Normal" w:default="true">
    <w:name w:val="Normal"/>
    <w:qFormat/>
    <w:rsid w:val="004A3277"/>
    <w:rPr>
      <w:rFonts w:ascii="Arial" w:hAnsi="Arial" w:eastAsia="Arial" w:cs="Arial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DefaultParagraphFont" w:default="true">
    <w:name w:val="Default Paragraph Font"/>
    <w:uiPriority w:val="1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styleId="HeaderChar" w:customStyle="true">
    <w:name w:val="Header Char"/>
    <w:basedOn w:val="DefaultParagraphFont"/>
    <w:link w:val="Header"/>
    <w:uiPriority w:val="99"/>
    <w:rsid w:val="00841CD9"/>
  </w:style>
  <w:style w:type="character" w:styleId="Heading1Char" w:customStyle="true">
    <w:name w:val="Heading 1 Char"/>
    <w:basedOn w:val="DefaultParagraphFont"/>
    <w:link w:val="Heading1"/>
    <w:uiPriority w:val="9"/>
    <w:rsid w:val="00841CD9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true">
    <w:name w:val="Heading 2 Char"/>
    <w:basedOn w:val="DefaultParagraphFont"/>
    <w:link w:val="Heading2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true">
    <w:name w:val="Heading 3 Char"/>
    <w:basedOn w:val="DefaultParagraphFont"/>
    <w:link w:val="Heading3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</w:rPr>
  </w:style>
  <w:style w:type="character" w:styleId="Heading4Char" w:customStyle="true">
    <w:name w:val="Heading 4 Char"/>
    <w:basedOn w:val="DefaultParagraphFont"/>
    <w:link w:val="Heading4"/>
    <w:uiPriority w:val="9"/>
    <w:rsid w:val="00841CD9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true">
    <w:name w:val="Subtitle Char"/>
    <w:basedOn w:val="DefaultParagraphFont"/>
    <w:link w:val="Subtitle"/>
    <w:uiPriority w:val="11"/>
    <w:rsid w:val="00841CD9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color="4F81BD" w:themeColor="accent1" w:sz="8" w:space="4"/>
      </w:pBdr>
      <w:spacing w:after="300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true">
    <w:name w:val="Title Char"/>
    <w:basedOn w:val="DefaultParagraphFont"/>
    <w:link w:val="Title"/>
    <w:uiPriority w:val="10"/>
    <w:rsid w:val="00841CD9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Normal" w:default="tru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4F81BD" w:themeColor="accent1"/>
      <w:sz w:val="18"/>
      <w:szCs w:val="18"/>
    </w:rPr>
  </w:style>
</w:styles>
</file>

<file path=word/_rels/document.xml.rels><?xml version="1.0" encoding="UTF-8" standalone="yes"?>
<Relationships xmlns="http://schemas.openxmlformats.org/package/2006/relationships">
    <Relationship Target="styles.xml" Type="http://schemas.openxmlformats.org/officeDocument/2006/relationships/styles" Id="rId1"/>
    <Relationship Target="settings.xml" Type="http://schemas.openxmlformats.org/officeDocument/2006/relationships/settings" Id="rId2"/>
</Relationships>

</file>

<file path=docProps/app.xml><?xml version="1.0" encoding="utf-8"?>
<properties:Properties xmlns:vt="http://schemas.openxmlformats.org/officeDocument/2006/docPropsVTypes" xmlns:properties="http://schemas.openxmlformats.org/officeDocument/2006/extended-properties"/>
</file>

<file path=docProps/core.xml><?xml version="1.0" encoding="utf-8"?>
<cp:coreProperties xmlns:cp="http://schemas.openxmlformats.org/package/2006/metadata/core-properties" xmlns:dcterms="http://purl.org/dc/terms/" xmlns:dc="http://purl.org/dc/elements/1.1/"/>
</file>