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Reproducible Stata Word Tables: demo</w:t>
      </w:r>
    </w:p>
    <w:p>
      <w:r>
        <w:t/>
      </w:r>
      <w:r>
        <w:rPr>
          <w:b w:val="true"/>
        </w:rPr>
        <w:t xml:space="preserve">Synthetic data only. </w:t>
      </w:r>
      <w:r>
        <w:t xml:space="preserve">Every table below was regenerated from one parameter block. </w:t>
      </w:r>
      <w:r>
        <w:t xml:space="preserve">category_cut = 3; </w:t>
      </w:r>
      <w:r>
        <w:t xml:space="preserve">exclusions applied = 1; </w:t>
      </w:r>
      <w:r>
        <w:t xml:space="preserve">analysis N = 373.</w:t>
      </w:r>
    </w:p>
    <w:tbl>
      <w:tblPr>
        <w:tblStyle w:val="TableGrid"/>
        <w:tblW w:w="0" w:type="auto"/>
        <w:jc w:val="center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1. Sample characteristics by burden category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Burden category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51.04 (13.17)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48.77 (13.08)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51.71 (11.60)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49.52 (11.50)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50.17 (12.39)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A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48.68% (37)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40.00% (46)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53.61% (52)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52.94% (45)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48.26% (180)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51.32% (39)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60.00% (69)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46.39% (45)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47.06% (40)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51.74% (193)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23.68% (18)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30.43% (35)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35.05%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34.12% (29)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31.10% (116)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44.74%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28.70% (33)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29.90% (29)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29.41% (25)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32.44% (121)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31.58% (24)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40.87% (47)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35.05%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36.47% (31)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36.46% (136)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Synthetic outcome score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5.17 (1.67)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5.93 (2.32)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6.72 (2.77)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7.74 (3.07)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6.39 (2.67)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2. Primary model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Log 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[-0.00, 0.23]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 0.40]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[0.30, 0.48]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[0.00, 0.01]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[0.05, 0.19]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[-0.10, 0.12]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[-0.03, 0.13]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[1.12, 1.41]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Bold p-values indicate p &lt; 0.05.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3. Secondary model: untransformed outcome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[0.11, 1.42]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2.66]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[2.20, 3.12]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[0.01, 0.06]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[0.30, 1.33]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[-0.68, 0.81]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[-0.46, 0.85]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[1.85, 3.78]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Bold p-values indicate p &lt; 0.05.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Arial" w:hAnsi="Arial" w:eastAsia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