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2A6B" w:val="clear"/>
            <w:tcMar>
              <w:top w:type="dxa" w:w="160"/>
              <w:left w:type="dxa" w:w="200"/>
              <w:bottom w:type="dxa" w:w="160"/>
              <w:right w:type="dxa" w:w="200"/>
            </w:tcMar>
          </w:tcPr>
          <w:p>
            <w:pPr>
              <w:jc w:val="center"/>
            </w:pPr>
            <w:r>
              <w:rPr>
                <w:rFonts w:ascii="Arial" w:cs="Arial" w:eastAsia="Arial" w:hAnsi="Arial"/>
                <w:b w:val="false"/>
                <w:bCs w:val="false"/>
                <w:color w:val="FFFFFF"/>
                <w:sz w:val="16"/>
                <w:szCs w:val="16"/>
              </w:rPr>
              <w:t xml:space="preserve">MIABE HACKATHON 2026  |  PROJET CI-01  |  D08 — GOUVERNANCE LOCALE &amp; TRANSPARENCE BUDGÉTAIRE</w:t>
            </w:r>
          </w:p>
        </w:tc>
      </w:tr>
    </w:tbl>
    <w:p>
      <w:pPr>
        <w:spacing w:after="400" w:before="0"/>
      </w:pPr>
    </w:p>
    <w:p>
      <w:pPr>
        <w:jc w:val="center"/>
      </w:pPr>
      <w:r>
        <w:drawing>
          <wp:inline distT="0" distB="0" distL="0" distR="0">
            <wp:extent cx="1714500" cy="1714500"/>
            <wp:effectExtent t="0" r="0" b="0" l="0"/>
            <wp:docPr id="1" name="KomoeLogo" descr="KOMOE Budget Transparency" title="KOMO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714500" cy="1714500"/>
                    </a:xfrm>
                    <a:prstGeom prst="rect">
                      <a:avLst/>
                    </a:prstGeom>
                  </pic:spPr>
                </pic:pic>
              </a:graphicData>
            </a:graphic>
          </wp:inline>
        </w:drawing>
      </w:r>
    </w:p>
    <w:p>
      <w:pPr>
        <w:spacing w:after="200" w:before="0"/>
      </w:pPr>
    </w:p>
    <w:p>
      <w:pPr>
        <w:spacing w:after="80" w:before="0"/>
        <w:jc w:val="center"/>
      </w:pPr>
      <w:r>
        <w:rPr>
          <w:rFonts w:ascii="Arial" w:cs="Arial" w:eastAsia="Arial" w:hAnsi="Arial"/>
          <w:b/>
          <w:bCs/>
          <w:color w:val="1B2A6B"/>
          <w:sz w:val="52"/>
          <w:szCs w:val="52"/>
        </w:rPr>
        <w:t xml:space="preserve">OPACITÉ BUDGÉTAIRE</w:t>
      </w:r>
    </w:p>
    <w:p>
      <w:pPr>
        <w:spacing w:after="80" w:before="0"/>
        <w:jc w:val="center"/>
      </w:pPr>
      <w:r>
        <w:rPr>
          <w:rFonts w:ascii="Arial" w:cs="Arial" w:eastAsia="Arial" w:hAnsi="Arial"/>
          <w:b/>
          <w:bCs/>
          <w:color w:val="1B2A6B"/>
          <w:sz w:val="42"/>
          <w:szCs w:val="42"/>
        </w:rPr>
        <w:t xml:space="preserve">DANS LES COMMUNES IVOIRIENNES</w:t>
      </w:r>
    </w:p>
    <w:p>
      <w:pPr>
        <w:pBdr>
          <w:bottom w:val="single" w:color="D4681E" w:sz="12" w:space="1"/>
        </w:pBdr>
        <w:spacing w:after="60" w:before="60"/>
      </w:pPr>
    </w:p>
    <w:p>
      <w:pPr>
        <w:spacing w:after="80" w:before="80"/>
        <w:jc w:val="center"/>
      </w:pPr>
      <w:r>
        <w:rPr>
          <w:rFonts w:ascii="Arial" w:cs="Arial" w:eastAsia="Arial" w:hAnsi="Arial"/>
          <w:color w:val="6B7280"/>
          <w:sz w:val="26"/>
          <w:szCs w:val="26"/>
        </w:rPr>
        <w:t xml:space="preserve">Documentation, données chiffrées et exemples issus des rapports de la Cour des Comptes</w:t>
      </w:r>
    </w:p>
    <w:p>
      <w:pPr>
        <w:spacing w:after="4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13"/>
        <w:gridCol w:w="200"/>
        <w:gridCol w:w="4413"/>
      </w:tblGrid>
      <w:tr>
        <w:tc>
          <w:tcPr>
            <w:tcW w:type="dxa" w:w="4413"/>
            <w:tcBorders>
              <w:top w:val="single" w:color="D4681E" w:sz="1"/>
              <w:left w:val="single" w:color="D4681E" w:sz="1"/>
              <w:bottom w:val="single" w:color="D4681E" w:sz="1"/>
              <w:right w:val="single" w:color="D4681E" w:sz="1"/>
            </w:tcBorders>
            <w:shd w:fill="FDF0E6" w:val="clear"/>
            <w:tcMar>
              <w:top w:type="dxa" w:w="140"/>
              <w:left w:type="dxa" w:w="160"/>
              <w:bottom w:type="dxa" w:w="140"/>
              <w:right w:type="dxa" w:w="160"/>
            </w:tcMar>
          </w:tcPr>
          <w:p>
            <w:pPr>
              <w:jc w:val="center"/>
            </w:pPr>
            <w:r>
              <w:rPr>
                <w:rFonts w:ascii="Arial" w:cs="Arial" w:eastAsia="Arial" w:hAnsi="Arial"/>
                <w:b/>
                <w:bCs/>
                <w:color w:val="D4681E"/>
                <w:sz w:val="18"/>
                <w:szCs w:val="18"/>
              </w:rPr>
              <w:t xml:space="preserve">LIVRABLE</w:t>
            </w:r>
          </w:p>
          <w:p>
            <w:pPr>
              <w:jc w:val="center"/>
            </w:pPr>
            <w:r>
              <w:rPr>
                <w:rFonts w:ascii="Arial" w:cs="Arial" w:eastAsia="Arial" w:hAnsi="Arial"/>
                <w:b/>
                <w:bCs/>
                <w:color w:val="1B2A6B"/>
                <w:sz w:val="20"/>
                <w:szCs w:val="20"/>
              </w:rPr>
              <w:t xml:space="preserve">Livrable 1 — Phase 1 : Présélection</w:t>
            </w:r>
          </w:p>
        </w:tc>
        <w:tc>
          <w:tcPr>
            <w:tcW w:type="dxa" w:w="200"/>
            <w:tcBorders>
              <w:top w:val="none" w:color="FFFFFF" w:sz="0"/>
              <w:left w:val="none" w:color="FFFFFF" w:sz="0"/>
              <w:bottom w:val="none" w:color="FFFFFF" w:sz="0"/>
              <w:right w:val="none" w:color="FFFFFF" w:sz="0"/>
            </w:tcBorders>
          </w:tcPr>
          <w:p/>
        </w:tc>
        <w:tc>
          <w:tcPr>
            <w:tcW w:type="dxa" w:w="4413"/>
            <w:tcBorders>
              <w:top w:val="single" w:color="1B2A6B" w:sz="1"/>
              <w:left w:val="single" w:color="1B2A6B" w:sz="1"/>
              <w:bottom w:val="single" w:color="1B2A6B" w:sz="1"/>
              <w:right w:val="single" w:color="1B2A6B" w:sz="1"/>
            </w:tcBorders>
            <w:shd w:fill="E8EBF5" w:val="clear"/>
            <w:tcMar>
              <w:top w:type="dxa" w:w="140"/>
              <w:left w:type="dxa" w:w="160"/>
              <w:bottom w:type="dxa" w:w="140"/>
              <w:right w:type="dxa" w:w="160"/>
            </w:tcMar>
          </w:tcPr>
          <w:p>
            <w:pPr>
              <w:jc w:val="center"/>
            </w:pPr>
            <w:r>
              <w:rPr>
                <w:rFonts w:ascii="Arial" w:cs="Arial" w:eastAsia="Arial" w:hAnsi="Arial"/>
                <w:b/>
                <w:bCs/>
                <w:color w:val="1B2A6B"/>
                <w:sz w:val="18"/>
                <w:szCs w:val="18"/>
              </w:rPr>
              <w:t xml:space="preserve">CADRE</w:t>
            </w:r>
          </w:p>
          <w:p>
            <w:pPr>
              <w:jc w:val="center"/>
            </w:pPr>
            <w:r>
              <w:rPr>
                <w:rFonts w:ascii="Arial" w:cs="Arial" w:eastAsia="Arial" w:hAnsi="Arial"/>
                <w:b/>
                <w:bCs/>
                <w:color w:val="1B2A6B"/>
                <w:sz w:val="20"/>
                <w:szCs w:val="20"/>
              </w:rPr>
              <w:t xml:space="preserve">ODD 11 · ODD 16 · ODD 17</w:t>
            </w:r>
          </w:p>
        </w:tc>
      </w:tr>
    </w:tbl>
    <w:p>
      <w:pPr>
        <w:spacing w:after="2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13"/>
        <w:gridCol w:w="200"/>
        <w:gridCol w:w="4413"/>
      </w:tblGrid>
      <w:tr>
        <w:tc>
          <w:tcPr>
            <w:tcW w:type="dxa" w:w="4413"/>
            <w:tcBorders>
              <w:top w:val="single" w:color="CCCCCC" w:sz="1"/>
              <w:left w:val="single" w:color="CCCCCC" w:sz="1"/>
              <w:bottom w:val="single" w:color="CCCCCC" w:sz="1"/>
              <w:right w:val="single" w:color="CCCCCC" w:sz="1"/>
            </w:tcBorders>
            <w:shd w:fill="F3F4F6" w:val="clear"/>
            <w:tcMar>
              <w:top w:type="dxa" w:w="120"/>
              <w:left w:type="dxa" w:w="160"/>
              <w:bottom w:type="dxa" w:w="120"/>
              <w:right w:type="dxa" w:w="160"/>
            </w:tcMar>
          </w:tcPr>
          <w:p>
            <w:pPr>
              <w:jc w:val="center"/>
            </w:pPr>
            <w:r>
              <w:rPr>
                <w:rFonts w:ascii="Arial" w:cs="Arial" w:eastAsia="Arial" w:hAnsi="Arial"/>
                <w:b/>
                <w:bCs/>
                <w:color w:val="6B7280"/>
                <w:sz w:val="18"/>
                <w:szCs w:val="18"/>
              </w:rPr>
              <w:t xml:space="preserve">Auteurs</w:t>
            </w:r>
          </w:p>
          <w:p>
            <w:pPr>
              <w:jc w:val="center"/>
            </w:pPr>
            <w:r>
              <w:rPr>
                <w:rFonts w:ascii="Arial" w:cs="Arial" w:eastAsia="Arial" w:hAnsi="Arial"/>
                <w:color w:val="000000"/>
                <w:sz w:val="20"/>
                <w:szCs w:val="20"/>
              </w:rPr>
              <w:t xml:space="preserve">Équipe BudgetOuvert — Phase 1</w:t>
            </w:r>
          </w:p>
        </w:tc>
        <w:tc>
          <w:tcPr>
            <w:tcW w:type="dxa" w:w="200"/>
            <w:tcBorders>
              <w:top w:val="none" w:color="FFFFFF" w:sz="0"/>
              <w:left w:val="none" w:color="FFFFFF" w:sz="0"/>
              <w:bottom w:val="none" w:color="FFFFFF" w:sz="0"/>
              <w:right w:val="none" w:color="FFFFFF" w:sz="0"/>
            </w:tcBorders>
          </w:tcPr>
          <w:p/>
        </w:tc>
        <w:tc>
          <w:tcPr>
            <w:tcW w:type="dxa" w:w="4413"/>
            <w:tcBorders>
              <w:top w:val="single" w:color="CCCCCC" w:sz="1"/>
              <w:left w:val="single" w:color="CCCCCC" w:sz="1"/>
              <w:bottom w:val="single" w:color="CCCCCC" w:sz="1"/>
              <w:right w:val="single" w:color="CCCCCC" w:sz="1"/>
            </w:tcBorders>
            <w:shd w:fill="F3F4F6" w:val="clear"/>
            <w:tcMar>
              <w:top w:type="dxa" w:w="120"/>
              <w:left w:type="dxa" w:w="160"/>
              <w:bottom w:type="dxa" w:w="120"/>
              <w:right w:type="dxa" w:w="160"/>
            </w:tcMar>
          </w:tcPr>
          <w:p>
            <w:pPr>
              <w:jc w:val="center"/>
            </w:pPr>
            <w:r>
              <w:rPr>
                <w:rFonts w:ascii="Arial" w:cs="Arial" w:eastAsia="Arial" w:hAnsi="Arial"/>
                <w:b/>
                <w:bCs/>
                <w:color w:val="6B7280"/>
                <w:sz w:val="18"/>
                <w:szCs w:val="18"/>
              </w:rPr>
              <w:t xml:space="preserve">Date</w:t>
            </w:r>
          </w:p>
          <w:p>
            <w:pPr>
              <w:jc w:val="center"/>
            </w:pPr>
            <w:r>
              <w:rPr>
                <w:rFonts w:ascii="Arial" w:cs="Arial" w:eastAsia="Arial" w:hAnsi="Arial"/>
                <w:color w:val="000000"/>
                <w:sz w:val="20"/>
                <w:szCs w:val="20"/>
              </w:rPr>
              <w:t xml:space="preserve">Avril 2026</w:t>
            </w:r>
          </w:p>
        </w:tc>
      </w:tr>
    </w:tbl>
    <w:p>
      <w:pPr>
        <w:spacing w:after="6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4681E" w:val="clear"/>
            <w:tcMar>
              <w:top w:type="dxa" w:w="120"/>
              <w:left w:type="dxa" w:w="200"/>
              <w:bottom w:type="dxa" w:w="120"/>
              <w:right w:type="dxa" w:w="200"/>
            </w:tcMar>
          </w:tcPr>
          <w:p>
            <w:pPr>
              <w:jc w:val="center"/>
            </w:pPr>
            <w:r>
              <w:rPr>
                <w:rFonts w:ascii="Arial" w:cs="Arial" w:eastAsia="Arial" w:hAnsi="Arial"/>
                <w:b/>
                <w:bCs/>
                <w:color w:val="FFFFFF"/>
                <w:sz w:val="20"/>
                <w:szCs w:val="20"/>
              </w:rPr>
              <w:t xml:space="preserve">REPUBLIQUE DE CÔTE D'IVOIRE  |  KOMOE — BUDGET TRANSPARENCY</w:t>
            </w:r>
          </w:p>
        </w:tc>
      </w:tr>
    </w:tbl>
    <w:p>
      <w:pPr>
        <w:sectPr>
          <w:pgSz w:w="11906" w:h="16838" w:orient="portrait"/>
          <w:pgMar w:top="1440" w:right="1440" w:bottom="1440" w:left="1440" w:header="708" w:footer="708" w:gutter="0"/>
          <w:pgNumType/>
          <w:docGrid w:linePitch="360"/>
        </w:sectPr>
      </w:pPr>
    </w:p>
    <w:p>
      <w:r>
        <w:br w:type="page"/>
      </w:r>
    </w:p>
    <w:p>
      <w:pPr>
        <w:jc w:val="center"/>
      </w:pPr>
      <w:r>
        <w:rPr>
          <w:rFonts w:ascii="Arial" w:cs="Arial" w:eastAsia="Arial" w:hAnsi="Arial"/>
          <w:b/>
          <w:bCs/>
          <w:color w:val="FFFFFF"/>
          <w:sz w:val="28"/>
          <w:szCs w:val="28"/>
        </w:rPr>
        <w:t xml:space="preserve">RÉSUMÉ EXÉCUTIF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2A6B" w:val="clear"/>
            <w:tcMar>
              <w:top w:type="dxa" w:w="200"/>
              <w:left w:type="dxa" w:w="240"/>
              <w:bottom w:type="dxa" w:w="200"/>
              <w:right w:type="dxa" w:w="240"/>
            </w:tcMar>
          </w:tcPr>
          <w:p>
            <w:pPr>
              <w:spacing w:after="160" w:before="0"/>
              <w:jc w:val="center"/>
            </w:pPr>
            <w:r>
              <w:rPr>
                <w:rFonts w:ascii="Arial" w:cs="Arial" w:eastAsia="Arial" w:hAnsi="Arial"/>
                <w:b/>
                <w:bCs/>
                <w:color w:val="FFFFFF"/>
                <w:sz w:val="28"/>
                <w:szCs w:val="28"/>
              </w:rPr>
              <w:t xml:space="preserve">RÉSUMÉ EXÉCUTIF</w:t>
            </w:r>
          </w:p>
          <w:p>
            <w:pPr>
              <w:spacing w:after="120" w:before="60"/>
              <w:jc w:val="both"/>
            </w:pPr>
            <w:r>
              <w:rPr>
                <w:rFonts w:ascii="Arial" w:cs="Arial" w:eastAsia="Arial" w:hAnsi="Arial"/>
                <w:color w:val="FFFFFF"/>
                <w:sz w:val="21"/>
                <w:szCs w:val="21"/>
              </w:rPr>
              <w:t xml:space="preserve">Ce document constitue le Livrable 1 de la Phase 1 (Présélection) du projet BudgetOuvert (CI-01), développé dans le cadre du MIABE Hackathon 2026, organisé par Darollo Technologies Corporation. Il documente avec rigueur et exhaustivité l'opacité budgétaire dans les 201 communes ivoiriennes, à travers des données chiffrées vérifiables, des exemples concrets d'irrégularités documentées par la Cour des Comptes de Côte d'Ivoire, et une analyse approfondie du cadre légal, institutionnel et contextuel.</w:t>
            </w:r>
          </w:p>
          <w:p>
            <w:pPr>
              <w:spacing w:after="120" w:before="60"/>
              <w:jc w:val="both"/>
            </w:pPr>
            <w:r>
              <w:rPr>
                <w:rFonts w:ascii="Arial" w:cs="Arial" w:eastAsia="Arial" w:hAnsi="Arial"/>
                <w:color w:val="FFFFFF"/>
                <w:sz w:val="21"/>
                <w:szCs w:val="21"/>
              </w:rPr>
              <w:t xml:space="preserve">L'objectif est triple : (1) démontrer au jury l'ampleur documentée et vérifiable du problème de transparence budgétaire dans les communes ivoiriennes ; (2) établir la légitimité et l'urgence de la solution BudgetOuvert basée sur la blockchain ; (3) poser les bases analytiques des phases suivantes du projet.</w:t>
            </w:r>
          </w:p>
          <w:p>
            <w:pPr>
              <w:spacing w:after="60" w:before="80"/>
            </w:pPr>
            <w:r>
              <w:rPr>
                <w:rFonts w:ascii="Arial" w:cs="Arial" w:eastAsia="Arial" w:hAnsi="Arial"/>
                <w:b/>
                <w:bCs/>
                <w:color w:val="D4681E"/>
                <w:sz w:val="21"/>
                <w:szCs w:val="21"/>
              </w:rPr>
              <w:t xml:space="preserve">Les cinq chiffres clés :</w:t>
            </w:r>
          </w:p>
          <w:p>
            <w:pPr>
              <w:spacing w:after="40" w:before="40"/>
            </w:pPr>
            <w:r>
              <w:rPr>
                <w:rFonts w:ascii="Arial" w:cs="Arial" w:eastAsia="Arial" w:hAnsi="Arial"/>
                <w:color w:val="FFFFFF"/>
                <w:sz w:val="21"/>
                <w:szCs w:val="21"/>
              </w:rPr>
              <w:t xml:space="preserve">▸  201 communes ivoiriennes gérant plus de 300 milliards FCFA par an de fonds publics</w:t>
            </w:r>
          </w:p>
          <w:p>
            <w:pPr>
              <w:spacing w:after="40" w:before="40"/>
            </w:pPr>
            <w:r>
              <w:rPr>
                <w:rFonts w:ascii="Arial" w:cs="Arial" w:eastAsia="Arial" w:hAnsi="Arial"/>
                <w:color w:val="FFFFFF"/>
                <w:sz w:val="21"/>
                <w:szCs w:val="21"/>
              </w:rPr>
              <w:t xml:space="preserve">▸  Moins de 10 % des communes publient leurs comptes de façon accessible aux citoyens</w:t>
            </w:r>
          </w:p>
          <w:p>
            <w:pPr>
              <w:spacing w:after="40" w:before="40"/>
            </w:pPr>
            <w:r>
              <w:rPr>
                <w:rFonts w:ascii="Arial" w:cs="Arial" w:eastAsia="Arial" w:hAnsi="Arial"/>
                <w:color w:val="FFFFFF"/>
                <w:sz w:val="21"/>
                <w:szCs w:val="21"/>
              </w:rPr>
              <w:t xml:space="preserve">▸  65 % des comptes communaux audités présentent des irrégularités (Cour des Comptes, 2018-2022)</w:t>
            </w:r>
          </w:p>
          <w:p>
            <w:pPr>
              <w:spacing w:after="40" w:before="40"/>
            </w:pPr>
            <w:r>
              <w:rPr>
                <w:rFonts w:ascii="Arial" w:cs="Arial" w:eastAsia="Arial" w:hAnsi="Arial"/>
                <w:color w:val="FFFFFF"/>
                <w:sz w:val="21"/>
                <w:szCs w:val="21"/>
              </w:rPr>
              <w:t xml:space="preserve">▸  4/100 : score de participation citoyenne dans le processus budgétaire (IBP, Open Budget Survey 2023)</w:t>
            </w:r>
          </w:p>
          <w:p>
            <w:pPr>
              <w:spacing w:after="40" w:before="40"/>
            </w:pPr>
            <w:r>
              <w:rPr>
                <w:rFonts w:ascii="Arial" w:cs="Arial" w:eastAsia="Arial" w:hAnsi="Arial"/>
                <w:color w:val="FFFFFF"/>
                <w:sz w:val="21"/>
                <w:szCs w:val="21"/>
              </w:rPr>
              <w:t xml:space="preserve">▸  Moins de 3 % des citoyens ivoiriens accèdent à une information intelligible sur le budget de leur commune</w:t>
            </w:r>
          </w:p>
        </w:tc>
      </w:tr>
    </w:tbl>
    <w:p>
      <w:pPr>
        <w:spacing w:after="200" w:before="0"/>
      </w:pPr>
    </w:p>
    <w:p>
      <w:pPr>
        <w:spacing w:after="120" w:before="80"/>
        <w:jc w:val="both"/>
      </w:pPr>
      <w:r>
        <w:rPr>
          <w:rFonts w:ascii="Arial" w:cs="Arial" w:eastAsia="Arial" w:hAnsi="Arial"/>
          <w:sz w:val="22"/>
          <w:szCs w:val="22"/>
        </w:rPr>
        <w:t xml:space="preserve">BudgetOuvert propose une solution blockchain qui rend chaque franc CFA communal traçable, immuable et public en temps réel. Ce document constitue la démonstration rigoureuse que ce problème est réel, documenté, urgent — et que la solution technologique proposée est cohérente avec les besoins identifiés.</w:t>
      </w:r>
    </w:p>
    <w:p>
      <w:pPr>
        <w:spacing w:after="200" w:before="0"/>
      </w:pPr>
    </w:p>
    <w:p>
      <w:r>
        <w:br w:type="page"/>
      </w:r>
    </w:p>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2A6B"/>
          <w:sz w:val="28"/>
          <w:szCs w:val="28"/>
        </w:rPr>
        <w:t xml:space="preserve">SOMMAIRE</w:t>
      </w:r>
    </w:p>
    <w:p>
      <w:pPr>
        <w:pBdr>
          <w:bottom w:val="single" w:color="1B2A6B" w:sz="8" w:space="1"/>
        </w:pBdr>
        <w:spacing w:after="160" w:before="0"/>
      </w:pP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sectPr>
          <w:headerReference w:type="default" r:id="rId9"/>
          <w:footerReference w:type="default" r:id="rId10"/>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2A6B"/>
          <w:sz w:val="28"/>
          <w:szCs w:val="28"/>
        </w:rPr>
        <w:t xml:space="preserve">AVANT-PROPOS</w:t>
      </w:r>
    </w:p>
    <w:p>
      <w:pPr>
        <w:pBdr>
          <w:bottom w:val="single" w:color="1B2A6B" w:sz="8" w:space="1"/>
        </w:pBdr>
        <w:spacing w:after="160" w:before="0"/>
      </w:pPr>
    </w:p>
    <w:p>
      <w:pPr>
        <w:spacing w:after="120" w:before="80"/>
        <w:jc w:val="both"/>
      </w:pPr>
      <w:r>
        <w:rPr>
          <w:rFonts w:ascii="Arial" w:cs="Arial" w:eastAsia="Arial" w:hAnsi="Arial"/>
          <w:sz w:val="22"/>
          <w:szCs w:val="22"/>
        </w:rPr>
        <w:t xml:space="preserve">Le présent document a été élaboré dans le cadre du MIABE Hackathon 2026, organisé par Darollo Technologies Corporation autour du thème 'La Blockchain, levier du développement durable africain'. L'équipe BudgetOuvert a choisi de s'attaquer à l'un des défis les plus profonds de la gouvernance locale en Côte d'Ivoire : l'opacité budgétaire des communes.</w:t>
      </w:r>
    </w:p>
    <w:p>
      <w:pPr>
        <w:spacing w:after="120" w:before="80"/>
        <w:jc w:val="both"/>
      </w:pPr>
      <w:r>
        <w:rPr>
          <w:rFonts w:ascii="Arial" w:cs="Arial" w:eastAsia="Arial" w:hAnsi="Arial"/>
          <w:sz w:val="22"/>
          <w:szCs w:val="22"/>
        </w:rPr>
        <w:t xml:space="preserve">Le projet KOMOE — Budget Transparency, dont BudgetOuvert est l'expression opérationnelle, puise son inspiration dans le nom même du fleuve Comoé, qui traverse la Côte d'Ivoire du nord au sud, fertilisant tout ce qu'il touche. De la même façon, la transparence budgétaire doit irriguer chaque institution locale, rendant l'information publique accessible à tous les citoyens.</w:t>
      </w:r>
    </w:p>
    <w:p>
      <w:pPr>
        <w:spacing w:after="120" w:before="80"/>
        <w:jc w:val="both"/>
      </w:pPr>
      <w:r>
        <w:rPr>
          <w:rFonts w:ascii="Arial" w:cs="Arial" w:eastAsia="Arial" w:hAnsi="Arial"/>
          <w:sz w:val="22"/>
          <w:szCs w:val="22"/>
        </w:rPr>
        <w:t xml:space="preserve">Ce document de Phase 1 constitue le premier livrable du projet. Son ambition est de fournir au jury du MIABE Hackathon 2026, ainsi qu'à tout lecteur intéressé, une documentation rigoureuse, sourcée et exhaustive du problème que BudgetOuvert entend résoudre. Aucune affirmation n'a été avancée sans source vérifiable. Aucune donnée n'a été retenue sans validation institutionnelle ou académique.</w:t>
      </w:r>
    </w:p>
    <w:p>
      <w:pPr>
        <w:spacing w:after="120" w:before="80"/>
        <w:jc w:val="both"/>
      </w:pPr>
      <w:r>
        <w:rPr>
          <w:rFonts w:ascii="Arial" w:cs="Arial" w:eastAsia="Arial" w:hAnsi="Arial"/>
          <w:sz w:val="22"/>
          <w:szCs w:val="22"/>
        </w:rPr>
        <w:t xml:space="preserve">Nous remercions la Cour des Comptes de Côte d'Ivoire pour ses rapports publics, l'International Budget Partnership pour ses enquêtes annuelles sur la transparence budgétaire, ainsi que l'ensemble des chercheurs et journalistes qui documentent avec intégrité la gouvernance locale ivoirienne.</w:t>
      </w:r>
    </w:p>
    <w:p>
      <w:pPr>
        <w:spacing w:after="160" w:before="0"/>
      </w:pPr>
    </w:p>
    <w:p>
      <w:pPr>
        <w:jc w:val="right"/>
      </w:pPr>
      <w:r>
        <w:rPr>
          <w:rFonts w:ascii="Arial" w:cs="Arial" w:eastAsia="Arial" w:hAnsi="Arial"/>
          <w:color w:val="6B7280"/>
          <w:sz w:val="22"/>
          <w:szCs w:val="22"/>
        </w:rPr>
        <w:t xml:space="preserve">Équipe BudgetOuvert — Avril 2026</w:t>
      </w:r>
    </w:p>
    <w:p>
      <w:r>
        <w:br w:type="page"/>
      </w:r>
    </w:p>
    <w:p>
      <w:pPr>
        <w:pStyle w:val="Heading1"/>
        <w:spacing w:after="200" w:before="360"/>
      </w:pPr>
      <w:r>
        <w:rPr>
          <w:rFonts w:ascii="Arial" w:cs="Arial" w:eastAsia="Arial" w:hAnsi="Arial"/>
          <w:b/>
          <w:bCs/>
          <w:color w:val="1B2A6B"/>
          <w:sz w:val="28"/>
          <w:szCs w:val="28"/>
        </w:rPr>
        <w:t xml:space="preserve">INTRODUCTION GÉNÉRALE</w:t>
      </w:r>
    </w:p>
    <w:p>
      <w:pPr>
        <w:pBdr>
          <w:bottom w:val="single" w:color="1B2A6B" w:sz="8" w:space="1"/>
        </w:pBdr>
        <w:spacing w:after="160" w:before="0"/>
      </w:pPr>
    </w:p>
    <w:p>
      <w:pPr>
        <w:pStyle w:val="Heading2"/>
        <w:spacing w:after="160" w:before="280"/>
      </w:pPr>
      <w:r>
        <w:rPr>
          <w:rFonts w:ascii="Arial" w:cs="Arial" w:eastAsia="Arial" w:hAnsi="Arial"/>
          <w:b/>
          <w:bCs/>
          <w:color w:val="1B2A6B"/>
          <w:sz w:val="24"/>
          <w:szCs w:val="24"/>
        </w:rPr>
        <w:t xml:space="preserve">Contexte et problématique</w:t>
      </w:r>
    </w:p>
    <w:p>
      <w:pPr>
        <w:spacing w:after="120" w:before="80"/>
        <w:jc w:val="both"/>
      </w:pPr>
      <w:r>
        <w:rPr>
          <w:rFonts w:ascii="Arial" w:cs="Arial" w:eastAsia="Arial" w:hAnsi="Arial"/>
          <w:sz w:val="22"/>
          <w:szCs w:val="22"/>
        </w:rPr>
        <w:t xml:space="preserve">La Côte d'Ivoire a réalisé des progrès significatifs en matière de transparence financière au niveau de l'État central depuis 2012. Son score à l'Enquête sur le Budget Ouvert (EBO) de l'International Budget Partnership (IBP) est passé de 24/100 en 2012 à 54/100 en 2023, une progression qui témoigne d'une volonté réelle de réforme au sommet de l'État.</w:t>
      </w:r>
    </w:p>
    <w:p>
      <w:pPr>
        <w:spacing w:after="120" w:before="80"/>
        <w:jc w:val="both"/>
      </w:pPr>
      <w:r>
        <w:rPr>
          <w:rFonts w:ascii="Arial" w:cs="Arial" w:eastAsia="Arial" w:hAnsi="Arial"/>
          <w:sz w:val="22"/>
          <w:szCs w:val="22"/>
        </w:rPr>
        <w:t xml:space="preserve">Cependant, cette dynamique nationale masque une réalité locale alarmante : les 201 communes ivoiriennes, qui gèrent collectivement plus de 300 milliards FCFA par an de fonds publics, demeurent dans une opacité quasi-totale. Moins de 10 % d'entre elles publient leurs comptes de façon accessible aux citoyens. La Cour des Comptes, institution suprême de contrôle des finances publiques, a identifié des irrégularités dans 65 % des comptes communaux qu'elle a pu auditer entre 2018 et 2022.</w:t>
      </w:r>
    </w:p>
    <w:p>
      <w:pPr>
        <w:spacing w:after="120" w:before="80"/>
        <w:jc w:val="both"/>
      </w:pPr>
      <w:r>
        <w:rPr>
          <w:rFonts w:ascii="Arial" w:cs="Arial" w:eastAsia="Arial" w:hAnsi="Arial"/>
          <w:sz w:val="22"/>
          <w:szCs w:val="22"/>
        </w:rPr>
        <w:t xml:space="preserve">Cette situation crée un paradoxe démocratique profond : les communes sont les institutions de gouvernance les plus proches des citoyens, celles qui financent directement les routes, les marchés, les écoles et les centres de santé de leur quotidien — et pourtant, ce sont celles sur lesquelles les citoyens ont le moins d'information et de contrôle.</w:t>
      </w:r>
    </w:p>
    <w:p>
      <w:pPr>
        <w:pStyle w:val="Heading2"/>
        <w:spacing w:after="160" w:before="280"/>
      </w:pPr>
      <w:r>
        <w:rPr>
          <w:rFonts w:ascii="Arial" w:cs="Arial" w:eastAsia="Arial" w:hAnsi="Arial"/>
          <w:b/>
          <w:bCs/>
          <w:color w:val="1B2A6B"/>
          <w:sz w:val="24"/>
          <w:szCs w:val="24"/>
        </w:rPr>
        <w:t xml:space="preserve">Objectifs du document</w:t>
      </w:r>
    </w:p>
    <w:p>
      <w:pPr>
        <w:spacing w:after="120" w:before="80"/>
        <w:jc w:val="both"/>
      </w:pPr>
      <w:r>
        <w:rPr>
          <w:rFonts w:ascii="Arial" w:cs="Arial" w:eastAsia="Arial" w:hAnsi="Arial"/>
          <w:sz w:val="22"/>
          <w:szCs w:val="22"/>
        </w:rPr>
        <w:t xml:space="preserve">Ce document poursuit trois objectifs complémentaires :</w:t>
      </w:r>
    </w:p>
    <w:p>
      <w:pPr>
        <w:pStyle w:val="ListParagraph"/>
        <w:numPr>
          <w:ilvl w:val="0"/>
          <w:numId w:val="2"/>
        </w:numPr>
        <w:spacing w:after="60" w:before="60"/>
      </w:pPr>
      <w:r>
        <w:rPr>
          <w:rFonts w:ascii="Arial" w:cs="Arial" w:eastAsia="Arial" w:hAnsi="Arial"/>
          <w:sz w:val="22"/>
          <w:szCs w:val="22"/>
        </w:rPr>
        <w:t xml:space="preserve">Documenter avec rigueur et sources vérifiables l'état réel de l'opacité budgétaire dans les communes ivoiriennes, à partir des données officielles disponibles (Cour des Comptes, IBP, textes de loi, études académiques).</w:t>
      </w:r>
    </w:p>
    <w:p>
      <w:pPr>
        <w:pStyle w:val="ListParagraph"/>
        <w:numPr>
          <w:ilvl w:val="0"/>
          <w:numId w:val="2"/>
        </w:numPr>
        <w:spacing w:after="60" w:before="60"/>
      </w:pPr>
      <w:r>
        <w:rPr>
          <w:rFonts w:ascii="Arial" w:cs="Arial" w:eastAsia="Arial" w:hAnsi="Arial"/>
          <w:sz w:val="22"/>
          <w:szCs w:val="22"/>
        </w:rPr>
        <w:t xml:space="preserve">Analyser les mécanismes structurels, institutionnels et comportementaux qui perpétuent cette opacité, afin de comprendre pourquoi les outils existants sont insuffisants.</w:t>
      </w:r>
    </w:p>
    <w:p>
      <w:pPr>
        <w:pStyle w:val="ListParagraph"/>
        <w:numPr>
          <w:ilvl w:val="0"/>
          <w:numId w:val="2"/>
        </w:numPr>
        <w:spacing w:after="60" w:before="60"/>
      </w:pPr>
      <w:r>
        <w:rPr>
          <w:rFonts w:ascii="Arial" w:cs="Arial" w:eastAsia="Arial" w:hAnsi="Arial"/>
          <w:sz w:val="22"/>
          <w:szCs w:val="22"/>
        </w:rPr>
        <w:t xml:space="preserve">Établir la pertinence et la cohérence de la solution BudgetOuvert basée sur la blockchain comme réponse technologique, institutionnellement alignée avec les engagements existants de la Côte d'Ivoire en matière de gouvernance ouverte.</w:t>
      </w:r>
    </w:p>
    <w:p>
      <w:pPr>
        <w:spacing w:after="120" w:before="0"/>
      </w:pPr>
    </w:p>
    <w:p>
      <w:pPr>
        <w:pStyle w:val="Heading2"/>
        <w:spacing w:after="160" w:before="280"/>
      </w:pPr>
      <w:r>
        <w:rPr>
          <w:rFonts w:ascii="Arial" w:cs="Arial" w:eastAsia="Arial" w:hAnsi="Arial"/>
          <w:b/>
          <w:bCs/>
          <w:color w:val="1B2A6B"/>
          <w:sz w:val="24"/>
          <w:szCs w:val="24"/>
        </w:rPr>
        <w:t xml:space="preserve">Méthodologie</w:t>
      </w:r>
    </w:p>
    <w:p>
      <w:pPr>
        <w:spacing w:after="120" w:before="80"/>
        <w:jc w:val="both"/>
      </w:pPr>
      <w:r>
        <w:rPr>
          <w:rFonts w:ascii="Arial" w:cs="Arial" w:eastAsia="Arial" w:hAnsi="Arial"/>
          <w:sz w:val="22"/>
          <w:szCs w:val="22"/>
        </w:rPr>
        <w:t xml:space="preserve">Ce document repose exclusivement sur des sources primaires et secondaires vérifiables. Les données quantitatives proviennent des rapports officiels de la Cour des Comptes de Côte d'Ivoire (exercices 2014-2022), des enquêtes de l'International Budget Partnership (2012-2023), des textes de loi publiés au Journal Officiel de la République de Côte d'Ivoire, et d'études académiques à comité de lecture. Les exemples qualitatifs sont construits à partir des typologies d'irrégularités documentées dans ces mêmes sources officielles.</w:t>
      </w:r>
    </w:p>
    <w:p>
      <w:pPr>
        <w:spacing w:after="120" w:before="80"/>
        <w:jc w:val="both"/>
      </w:pPr>
      <w:r>
        <w:rPr>
          <w:rFonts w:ascii="Arial" w:cs="Arial" w:eastAsia="Arial" w:hAnsi="Arial"/>
          <w:sz w:val="22"/>
          <w:szCs w:val="22"/>
        </w:rPr>
        <w:t xml:space="preserve">Chaque donnée est immédiatement suivie de sa référence source. Les données qui ne peuvent être attribuées à une source précise et fiable sont clairement signalées comme estimations ou sont exclues du document.</w:t>
      </w:r>
    </w:p>
    <w:p>
      <w:r>
        <w:br w:type="page"/>
      </w:r>
    </w:p>
    <w:p>
      <w:pPr>
        <w:pStyle w:val="Heading1"/>
        <w:spacing w:after="200" w:before="360"/>
      </w:pPr>
      <w:r>
        <w:rPr>
          <w:rFonts w:ascii="Arial" w:cs="Arial" w:eastAsia="Arial" w:hAnsi="Arial"/>
          <w:b/>
          <w:bCs/>
          <w:color w:val="1B2A6B"/>
          <w:sz w:val="28"/>
          <w:szCs w:val="28"/>
        </w:rPr>
        <w:t xml:space="preserve">CHAPITRE 1 — CONTEXTE GÉNÉRAL : LA GOUVERNANCE FINANCIÈRE LOCALE EN CÔTE D'IVOIRE</w:t>
      </w:r>
    </w:p>
    <w:p>
      <w:pPr>
        <w:pBdr>
          <w:bottom w:val="single" w:color="1B2A6B" w:sz="8" w:space="1"/>
        </w:pBdr>
        <w:spacing w:after="160" w:before="0"/>
      </w:pPr>
    </w:p>
    <w:p>
      <w:pPr>
        <w:pStyle w:val="Heading2"/>
        <w:spacing w:after="160" w:before="280"/>
      </w:pPr>
      <w:r>
        <w:rPr>
          <w:rFonts w:ascii="Arial" w:cs="Arial" w:eastAsia="Arial" w:hAnsi="Arial"/>
          <w:b/>
          <w:bCs/>
          <w:color w:val="1B2A6B"/>
          <w:sz w:val="24"/>
          <w:szCs w:val="24"/>
        </w:rPr>
        <w:t xml:space="preserve">1.1 Le paysage communal ivoirien</w:t>
      </w:r>
    </w:p>
    <w:p>
      <w:pPr>
        <w:spacing w:after="120" w:before="80"/>
        <w:jc w:val="both"/>
      </w:pPr>
      <w:r>
        <w:rPr>
          <w:rFonts w:ascii="Arial" w:cs="Arial" w:eastAsia="Arial" w:hAnsi="Arial"/>
          <w:b w:val="false"/>
          <w:bCs w:val="false"/>
          <w:color w:val="000000"/>
          <w:sz w:val="22"/>
          <w:szCs w:val="22"/>
        </w:rPr>
        <w:t xml:space="preserve">La Côte d'Ivoire compte </w:t>
      </w:r>
      <w:r>
        <w:rPr>
          <w:rFonts w:ascii="Arial" w:cs="Arial" w:eastAsia="Arial" w:hAnsi="Arial"/>
          <w:b/>
          <w:bCs/>
          <w:color w:val="000000"/>
          <w:sz w:val="22"/>
          <w:szCs w:val="22"/>
        </w:rPr>
        <w:t xml:space="preserve">201 communes</w:t>
      </w:r>
      <w:r>
        <w:rPr>
          <w:rFonts w:ascii="Arial" w:cs="Arial" w:eastAsia="Arial" w:hAnsi="Arial"/>
          <w:b w:val="false"/>
          <w:bCs w:val="false"/>
          <w:color w:val="000000"/>
          <w:sz w:val="22"/>
          <w:szCs w:val="22"/>
        </w:rPr>
        <w:t xml:space="preserve">, réparties sur l'ensemble du territoire national et représentant le niveau de gouvernance publique le plus proche des citoyens. Ces collectivités territoriales sont dotées de la personnalité morale et de l'autonomie financière, conformément à la </w:t>
      </w:r>
      <w:r>
        <w:rPr>
          <w:rFonts w:ascii="Arial" w:cs="Arial" w:eastAsia="Arial" w:hAnsi="Arial"/>
          <w:b/>
          <w:bCs/>
          <w:color w:val="000000"/>
          <w:sz w:val="22"/>
          <w:szCs w:val="22"/>
        </w:rPr>
        <w:t xml:space="preserve">loi n° 2014-451 du 5 août 2014</w:t>
      </w:r>
      <w:r>
        <w:rPr>
          <w:rFonts w:ascii="Arial" w:cs="Arial" w:eastAsia="Arial" w:hAnsi="Arial"/>
          <w:b w:val="false"/>
          <w:bCs w:val="false"/>
          <w:color w:val="000000"/>
          <w:sz w:val="22"/>
          <w:szCs w:val="22"/>
        </w:rPr>
        <w:t xml:space="preserve"> portant orientation de l'organisation générale de l'administration territoriale.</w:t>
      </w:r>
    </w:p>
    <w:p>
      <w:pPr>
        <w:spacing w:after="120" w:before="80"/>
        <w:jc w:val="both"/>
      </w:pPr>
      <w:r>
        <w:rPr>
          <w:rFonts w:ascii="Arial" w:cs="Arial" w:eastAsia="Arial" w:hAnsi="Arial"/>
          <w:sz w:val="22"/>
          <w:szCs w:val="22"/>
        </w:rPr>
        <w:t xml:space="preserve">Les budgets combinés de l'ensemble des communes ivoiriennes représentent plus de 300 milliards FCFA par an. (Source : UVICOCI / Ministère de l'Intérieur, données consolidées 2022.) Ces ressources financent des services essentiels pour des millions de citoyens : infrastructures routières, marchés, établissements scolaires, centres de santé, assainissement et gestion des déchets.</w:t>
      </w:r>
    </w:p>
    <w:p>
      <w:pPr>
        <w:spacing w:after="120" w:before="80"/>
        <w:jc w:val="both"/>
      </w:pPr>
      <w:r>
        <w:rPr>
          <w:rFonts w:ascii="Arial" w:cs="Arial" w:eastAsia="Arial" w:hAnsi="Arial"/>
          <w:sz w:val="22"/>
          <w:szCs w:val="22"/>
        </w:rPr>
        <w:t xml:space="preserve">Pour l'exercice 2024, le budget national de l'État prévoit officiellement 480 milliards FCFA en faveur des collectivités territoriales, dont 255 milliards issus des impôts partagés. (Source : Ministère du Budget et du Portefeuille de l'État, Loi de Finances n° 2023-1000 du 18 décembre 2023.)</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single" w:color="E5E7EB" w:sz="1"/>
              <w:left w:val="single" w:color="E5E7EB" w:sz="1"/>
              <w:bottom w:val="single" w:color="E5E7EB" w:sz="1"/>
              <w:right w:val="single" w:color="E5E7EB" w:sz="1"/>
            </w:tcBorders>
            <w:shd w:fill="E8EBF5" w:val="clear"/>
            <w:tcMar>
              <w:top w:type="dxa" w:w="140"/>
              <w:left w:type="dxa" w:w="160"/>
              <w:bottom w:type="dxa" w:w="140"/>
              <w:right w:type="dxa" w:w="160"/>
            </w:tcMar>
          </w:tcPr>
          <w:p>
            <w:pPr>
              <w:jc w:val="center"/>
            </w:pPr>
            <w:r>
              <w:rPr>
                <w:rFonts w:ascii="Arial" w:cs="Arial" w:eastAsia="Arial" w:hAnsi="Arial"/>
                <w:b/>
                <w:bCs/>
                <w:color w:val="D4681E"/>
                <w:sz w:val="44"/>
                <w:szCs w:val="44"/>
              </w:rPr>
              <w:t xml:space="preserve">201</w:t>
            </w:r>
          </w:p>
          <w:p>
            <w:pPr>
              <w:jc w:val="center"/>
            </w:pPr>
            <w:r>
              <w:rPr>
                <w:rFonts w:ascii="Arial" w:cs="Arial" w:eastAsia="Arial" w:hAnsi="Arial"/>
                <w:b/>
                <w:bCs/>
                <w:color w:val="1B2A6B"/>
                <w:sz w:val="20"/>
                <w:szCs w:val="20"/>
              </w:rPr>
              <w:t xml:space="preserve">communes ivoiriennes</w:t>
            </w:r>
          </w:p>
          <w:p>
            <w:pPr>
              <w:jc w:val="center"/>
            </w:pPr>
            <w:r>
              <w:rPr>
                <w:rFonts w:ascii="Arial" w:cs="Arial" w:eastAsia="Arial" w:hAnsi="Arial"/>
                <w:color w:val="6B7280"/>
                <w:sz w:val="18"/>
                <w:szCs w:val="18"/>
              </w:rPr>
              <w:t xml:space="preserve">Ministère de l'Intérieur, 2022</w:t>
            </w:r>
          </w:p>
        </w:tc>
        <w:tc>
          <w:tcPr>
            <w:tcW w:type="dxa" w:w="240"/>
            <w:tcBorders>
              <w:top w:val="none" w:color="FFFFFF" w:sz="0"/>
              <w:left w:val="none" w:color="FFFFFF" w:sz="0"/>
              <w:bottom w:val="none" w:color="FFFFFF" w:sz="0"/>
              <w:right w:val="none" w:color="FFFFFF" w:sz="0"/>
            </w:tcBorders>
          </w:tcPr>
          <w:p/>
        </w:tc>
        <w:tc>
          <w:tcPr>
            <w:tcW w:type="dxa" w:w="240"/>
            <w:tcBorders>
              <w:top w:val="none" w:color="FFFFFF" w:sz="0"/>
              <w:left w:val="none" w:color="FFFFFF" w:sz="0"/>
              <w:bottom w:val="none" w:color="FFFFFF" w:sz="0"/>
              <w:right w:val="none" w:color="FFFFFF" w:sz="0"/>
            </w:tcBorders>
          </w:tcPr>
          <w:p/>
        </w:tc>
      </w:tr>
      <w:tr>
        <w:tc>
          <w:tcPr>
            <w:tcW w:type="dxa" w:w="9360"/>
            <w:tcBorders>
              <w:top w:val="none" w:color="FFFFFF" w:sz="0"/>
              <w:left w:val="none" w:color="FFFFFF" w:sz="0"/>
              <w:bottom w:val="none" w:color="FFFFFF" w:sz="0"/>
              <w:right w:val="none" w:color="FFFFFF" w:sz="0"/>
            </w:tcBorders>
          </w:tcPr>
          <w:p>
            <w:pPr>
              <w:spacing w:after="80" w:before="0"/>
            </w:pPr>
          </w:p>
        </w:tc>
      </w:tr>
      <w:tr>
        <w:tc>
          <w:tcPr>
            <w:tcW w:type="dxa" w:w="4560"/>
            <w:tcBorders>
              <w:top w:val="single" w:color="E5E7EB" w:sz="1"/>
              <w:left w:val="single" w:color="E5E7EB" w:sz="1"/>
              <w:bottom w:val="single" w:color="E5E7EB" w:sz="1"/>
              <w:right w:val="single" w:color="E5E7EB" w:sz="1"/>
            </w:tcBorders>
            <w:shd w:fill="E8EBF5" w:val="clear"/>
            <w:tcMar>
              <w:top w:type="dxa" w:w="140"/>
              <w:left w:type="dxa" w:w="160"/>
              <w:bottom w:type="dxa" w:w="140"/>
              <w:right w:type="dxa" w:w="160"/>
            </w:tcMar>
          </w:tcPr>
          <w:p>
            <w:pPr>
              <w:jc w:val="center"/>
            </w:pPr>
            <w:r>
              <w:rPr>
                <w:rFonts w:ascii="Arial" w:cs="Arial" w:eastAsia="Arial" w:hAnsi="Arial"/>
                <w:b/>
                <w:bCs/>
                <w:color w:val="D4681E"/>
                <w:sz w:val="44"/>
                <w:szCs w:val="44"/>
              </w:rPr>
              <w:t xml:space="preserve">&gt;300 Mds</w:t>
            </w:r>
          </w:p>
          <w:p>
            <w:pPr>
              <w:jc w:val="center"/>
            </w:pPr>
            <w:r>
              <w:rPr>
                <w:rFonts w:ascii="Arial" w:cs="Arial" w:eastAsia="Arial" w:hAnsi="Arial"/>
                <w:b/>
                <w:bCs/>
                <w:color w:val="1B2A6B"/>
                <w:sz w:val="20"/>
                <w:szCs w:val="20"/>
              </w:rPr>
              <w:t xml:space="preserve">FCFA de budgets combinés/an</w:t>
            </w:r>
          </w:p>
          <w:p>
            <w:pPr>
              <w:jc w:val="center"/>
            </w:pPr>
            <w:r>
              <w:rPr>
                <w:rFonts w:ascii="Arial" w:cs="Arial" w:eastAsia="Arial" w:hAnsi="Arial"/>
                <w:color w:val="6B7280"/>
                <w:sz w:val="18"/>
                <w:szCs w:val="18"/>
              </w:rPr>
              <w:t xml:space="preserve">UVICOCI / Min. de l'Intérieur</w:t>
            </w:r>
          </w:p>
        </w:tc>
        <w:tc>
          <w:tcPr>
            <w:tcW w:type="dxa" w:w="240"/>
            <w:tcBorders>
              <w:top w:val="none" w:color="FFFFFF" w:sz="0"/>
              <w:left w:val="none" w:color="FFFFFF" w:sz="0"/>
              <w:bottom w:val="none" w:color="FFFFFF" w:sz="0"/>
              <w:right w:val="none" w:color="FFFFFF" w:sz="0"/>
            </w:tcBorders>
          </w:tcPr>
          <w:p/>
        </w:tc>
        <w:tc>
          <w:tcPr>
            <w:tcW w:type="dxa" w:w="240"/>
            <w:tcBorders>
              <w:top w:val="none" w:color="FFFFFF" w:sz="0"/>
              <w:left w:val="none" w:color="FFFFFF" w:sz="0"/>
              <w:bottom w:val="none" w:color="FFFFFF" w:sz="0"/>
              <w:right w:val="none" w:color="FFFFFF" w:sz="0"/>
            </w:tcBorders>
          </w:tcPr>
          <w:p/>
        </w:tc>
      </w:tr>
      <w:tr>
        <w:tc>
          <w:tcPr>
            <w:tcW w:type="dxa" w:w="9360"/>
            <w:tcBorders>
              <w:top w:val="none" w:color="FFFFFF" w:sz="0"/>
              <w:left w:val="none" w:color="FFFFFF" w:sz="0"/>
              <w:bottom w:val="none" w:color="FFFFFF" w:sz="0"/>
              <w:right w:val="none" w:color="FFFFFF" w:sz="0"/>
            </w:tcBorders>
          </w:tcPr>
          <w:p>
            <w:pPr>
              <w:spacing w:after="80" w:before="0"/>
            </w:pPr>
          </w:p>
        </w:tc>
      </w:tr>
    </w:tbl>
    <w:p>
      <w:pPr>
        <w:spacing w:after="200" w:before="0"/>
      </w:pPr>
    </w:p>
    <w:p>
      <w:pPr>
        <w:pStyle w:val="Heading2"/>
        <w:spacing w:after="160" w:before="280"/>
      </w:pPr>
      <w:r>
        <w:rPr>
          <w:rFonts w:ascii="Arial" w:cs="Arial" w:eastAsia="Arial" w:hAnsi="Arial"/>
          <w:b/>
          <w:bCs/>
          <w:color w:val="1B2A6B"/>
          <w:sz w:val="24"/>
          <w:szCs w:val="24"/>
        </w:rPr>
        <w:t xml:space="preserve">1.2 Le cadre légal et institutionnel de la gestion budgétaire locale</w:t>
      </w:r>
    </w:p>
    <w:p>
      <w:pPr>
        <w:spacing w:after="120" w:before="80"/>
        <w:jc w:val="both"/>
      </w:pPr>
      <w:r>
        <w:rPr>
          <w:rFonts w:ascii="Arial" w:cs="Arial" w:eastAsia="Arial" w:hAnsi="Arial"/>
          <w:sz w:val="22"/>
          <w:szCs w:val="22"/>
        </w:rPr>
        <w:t xml:space="preserve">La gestion des finances des collectivités territoriales en Côte d'Ivoire repose sur un corpus législatif dense, progressivement consolidé depuis les réformes de décentralisation des années 2000 :</w:t>
      </w:r>
    </w:p>
    <w:p>
      <w:pPr>
        <w:spacing w:after="1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CCCCCC" w:sz="1"/>
              <w:left w:val="single" w:color="CCCCCC" w:sz="1"/>
              <w:bottom w:val="single" w:color="CCCCCC" w:sz="1"/>
              <w:right w:val="single" w:color="CCCCCC" w:sz="1"/>
            </w:tcBorders>
            <w:shd w:fill="1B2A6B" w:val="clear"/>
            <w:tcMar>
              <w:top w:type="dxa" w:w="100"/>
              <w:left w:type="dxa" w:w="120"/>
              <w:bottom w:type="dxa" w:w="100"/>
              <w:right w:type="dxa" w:w="120"/>
            </w:tcMar>
          </w:tcPr>
          <w:p>
            <w:r>
              <w:rPr>
                <w:rFonts w:ascii="Arial" w:cs="Arial" w:eastAsia="Arial" w:hAnsi="Arial"/>
                <w:b/>
                <w:bCs/>
                <w:color w:val="FFFFFF"/>
                <w:sz w:val="20"/>
                <w:szCs w:val="20"/>
              </w:rPr>
              <w:t xml:space="preserve">Texte de référence</w:t>
            </w:r>
          </w:p>
        </w:tc>
        <w:tc>
          <w:tcPr>
            <w:tcW w:type="dxa" w:w="5426"/>
            <w:tcBorders>
              <w:top w:val="single" w:color="CCCCCC" w:sz="1"/>
              <w:left w:val="single" w:color="CCCCCC" w:sz="1"/>
              <w:bottom w:val="single" w:color="CCCCCC" w:sz="1"/>
              <w:right w:val="single" w:color="CCCCCC" w:sz="1"/>
            </w:tcBorders>
            <w:shd w:fill="1B2A6B" w:val="clear"/>
            <w:tcMar>
              <w:top w:type="dxa" w:w="100"/>
              <w:left w:type="dxa" w:w="120"/>
              <w:bottom w:type="dxa" w:w="100"/>
              <w:right w:type="dxa" w:w="120"/>
            </w:tcMar>
          </w:tcPr>
          <w:p>
            <w:r>
              <w:rPr>
                <w:rFonts w:ascii="Arial" w:cs="Arial" w:eastAsia="Arial" w:hAnsi="Arial"/>
                <w:b/>
                <w:bCs/>
                <w:color w:val="FFFFFF"/>
                <w:sz w:val="20"/>
                <w:szCs w:val="20"/>
              </w:rPr>
              <w:t xml:space="preserve">Objet principal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Loi n° 2020-885 du 21 octobre 2020</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Régime financier des Collectivités territoriales et Districts autonomes — transposition des directives UEMOA. Prévoit un Contrôleur financier obligatoire à toutes les étapes du cycle budgétaire.</w:t>
            </w:r>
          </w:p>
        </w:tc>
      </w:tr>
      <w:tr>
        <w:tc>
          <w:tcPr>
            <w:tcW w:type="dxa" w:w="3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sz w:val="20"/>
                <w:szCs w:val="20"/>
              </w:rPr>
              <w:t xml:space="preserve">Loi Organique n° 2018-979 du 27 décembre 2018</w:t>
            </w:r>
          </w:p>
        </w:tc>
        <w:tc>
          <w:tcPr>
            <w:tcW w:type="dxa" w:w="54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sz w:val="20"/>
                <w:szCs w:val="20"/>
              </w:rPr>
              <w:t xml:space="preserve">Attributions, composition, organisation et fonctionnement de la Cour des Comptes.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Loi n° 2014-451 du 5 août 2014</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Orientation de l'organisation générale de l'administration territoriale.</w:t>
            </w:r>
          </w:p>
        </w:tc>
      </w:tr>
      <w:tr>
        <w:tc>
          <w:tcPr>
            <w:tcW w:type="dxa" w:w="3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sz w:val="20"/>
                <w:szCs w:val="20"/>
              </w:rPr>
              <w:t xml:space="preserve">Loi Organique n° 2014-337 du 5 juin 2014</w:t>
            </w:r>
          </w:p>
        </w:tc>
        <w:tc>
          <w:tcPr>
            <w:tcW w:type="dxa" w:w="54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sz w:val="20"/>
                <w:szCs w:val="20"/>
              </w:rPr>
              <w:t xml:space="preserve">Code de Transparence dans la gestion des finances publiques.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Décret sur les impôts partagés</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Régit la collaboration État–collectivités pour la DGF (Dotation Globale de Fonctionnement) et le FIAU (Fonds d'Investissement et d'Aménagement Urbain).</w:t>
            </w:r>
          </w:p>
        </w:tc>
      </w:tr>
    </w:tbl>
    <w:p>
      <w:pPr>
        <w:spacing w:after="200" w:before="0"/>
      </w:pPr>
    </w:p>
    <w:p>
      <w:pPr>
        <w:spacing w:after="120" w:before="80"/>
        <w:jc w:val="both"/>
      </w:pPr>
      <w:r>
        <w:rPr>
          <w:rFonts w:ascii="Arial" w:cs="Arial" w:eastAsia="Arial" w:hAnsi="Arial"/>
          <w:sz w:val="22"/>
          <w:szCs w:val="22"/>
        </w:rPr>
        <w:t xml:space="preserve">La Cour des Comptes de Côte d'Ivoire, instituée par la Constitution du 1er août 2000 et formellement opérationnelle depuis le 8 janvier 2018, est l'Institution Supérieure de Contrôle (ISC) des finances publiques. L'article 152 de la Constitution lui confère des attributions de contrôle sur les services de l'État, les établissements publics, les collectivités territoriales, et tout organisme bénéficiant de concours financiers publics.</w:t>
      </w:r>
    </w:p>
    <w:p>
      <w:pPr>
        <w:spacing w:after="120" w:before="80"/>
        <w:jc w:val="both"/>
      </w:pPr>
      <w:r>
        <w:rPr>
          <w:rFonts w:ascii="Arial" w:cs="Arial" w:eastAsia="Arial" w:hAnsi="Arial"/>
          <w:sz w:val="22"/>
          <w:szCs w:val="22"/>
        </w:rPr>
        <w:t xml:space="preserve">La Cour dispose d'attributions juridictionnelles (jugement des comptes), de contrôle (vérification de la régularité et de la performance) et de consultation (avis sur les textes législatifs et réglementaires). Elle remet un rapport annuel au Président de la République, qui est rendu public.</w:t>
      </w:r>
    </w:p>
    <w:p>
      <w:pPr>
        <w:pStyle w:val="Heading2"/>
        <w:spacing w:after="160" w:before="280"/>
      </w:pPr>
      <w:r>
        <w:rPr>
          <w:rFonts w:ascii="Arial" w:cs="Arial" w:eastAsia="Arial" w:hAnsi="Arial"/>
          <w:b/>
          <w:bCs/>
          <w:color w:val="1B2A6B"/>
          <w:sz w:val="24"/>
          <w:szCs w:val="24"/>
        </w:rPr>
        <w:t xml:space="preserve">1.3 La structure des ressources communales</w:t>
      </w:r>
    </w:p>
    <w:p>
      <w:pPr>
        <w:spacing w:after="120" w:before="80"/>
        <w:jc w:val="both"/>
      </w:pPr>
      <w:r>
        <w:rPr>
          <w:rFonts w:ascii="Arial" w:cs="Arial" w:eastAsia="Arial" w:hAnsi="Arial"/>
          <w:sz w:val="22"/>
          <w:szCs w:val="22"/>
        </w:rPr>
        <w:t xml:space="preserve">Les ressources des communes ivoiriennes proviennent de trois sources principales : (1) la fiscalité locale (taxes foncières, patentes, droits de marchés, etc.) ; (2) les transferts de l'État (DGF, FIAU, impôts partagés) ; et (3) les ressources propres issues de la gestion du patrimoine communal.</w:t>
      </w:r>
    </w:p>
    <w:p>
      <w:pPr>
        <w:spacing w:after="120" w:before="80"/>
        <w:jc w:val="both"/>
      </w:pPr>
      <w:r>
        <w:rPr>
          <w:rFonts w:ascii="Arial" w:cs="Arial" w:eastAsia="Arial" w:hAnsi="Arial"/>
          <w:sz w:val="22"/>
          <w:szCs w:val="22"/>
        </w:rPr>
        <w:t xml:space="preserve">La forte dépendance vis-à-vis des transferts étatiques et la faiblesse structurelle des ressources propres fragilisent profondément l'autonomie financière des communes, notamment celles de l'intérieur du pays. À titre d'illustration concrète et documentée, la commune de Man a vu son budget chuter de 867 millions FCFA en 2019 à 235 millions FCFA en 2021, soit une réduction de 73 %, en partie due au prélèvement opéré au profit des Districts autonomes. (Source : Afrik Soir, avril 2026.)</w:t>
      </w:r>
    </w:p>
    <w:p>
      <w:pPr>
        <w:spacing w:after="120" w:before="80"/>
        <w:jc w:val="both"/>
      </w:pPr>
      <w:r>
        <w:rPr>
          <w:rFonts w:ascii="Arial" w:cs="Arial" w:eastAsia="Arial" w:hAnsi="Arial"/>
          <w:sz w:val="22"/>
          <w:szCs w:val="22"/>
        </w:rPr>
        <w:t xml:space="preserve">Cette instabilité budgétaire rend la planification locale quasi impossible et fragilise structurellement tout effort de transparence. </w:t>
      </w:r>
      <w:r>
        <w:rPr>
          <w:rStyle w:val="FootnoteReference"/>
        </w:rPr>
        <w:footnoteReference w:id="6"/>
      </w:r>
    </w:p>
    <w:p>
      <w:r>
        <w:br w:type="page"/>
      </w:r>
    </w:p>
    <w:p>
      <w:pPr>
        <w:pStyle w:val="Heading1"/>
        <w:spacing w:after="200" w:before="360"/>
      </w:pPr>
      <w:r>
        <w:rPr>
          <w:rFonts w:ascii="Arial" w:cs="Arial" w:eastAsia="Arial" w:hAnsi="Arial"/>
          <w:b/>
          <w:bCs/>
          <w:color w:val="1B2A6B"/>
          <w:sz w:val="28"/>
          <w:szCs w:val="28"/>
        </w:rPr>
        <w:t xml:space="preserve">CHAPITRE 2 — LES CINQ INDICATEURS CLÉS DE L'OPACITÉ BUDGÉTAIRE</w:t>
      </w:r>
    </w:p>
    <w:p>
      <w:pPr>
        <w:pBdr>
          <w:bottom w:val="single" w:color="1B2A6B" w:sz="8" w:space="1"/>
        </w:pBdr>
        <w:spacing w:after="160" w:before="0"/>
      </w:pPr>
    </w:p>
    <w:p>
      <w:pPr>
        <w:spacing w:after="120" w:before="80"/>
        <w:jc w:val="both"/>
      </w:pPr>
      <w:r>
        <w:rPr>
          <w:rFonts w:ascii="Arial" w:cs="Arial" w:eastAsia="Arial" w:hAnsi="Arial"/>
          <w:sz w:val="22"/>
          <w:szCs w:val="22"/>
        </w:rPr>
        <w:t xml:space="preserve">Les données suivantes constituent le socle factuel incontestable du problème que BudgetOuvert entend résoudre. Chaque indicateur est rigoureusement sourcé et interprété dans le contexte ivoirien.</w:t>
      </w:r>
    </w:p>
    <w:p>
      <w:pPr>
        <w:spacing w:after="120" w:before="0"/>
      </w:pP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126"/>
      </w:tblGrid>
      <w:tr>
        <w:trPr>
          <w:tblHeader/>
        </w:trPr>
        <w:tc>
          <w:tcPr>
            <w:tcW w:type="dxa" w:w="2600"/>
            <w:tcBorders>
              <w:top w:val="single" w:color="CCCCCC" w:sz="1"/>
              <w:left w:val="single" w:color="CCCCCC" w:sz="1"/>
              <w:bottom w:val="single" w:color="CCCCCC" w:sz="1"/>
              <w:right w:val="single" w:color="CCCCCC" w:sz="1"/>
            </w:tcBorders>
            <w:shd w:fill="1B2A6B" w:val="clear"/>
            <w:tcMar>
              <w:top w:type="dxa" w:w="100"/>
              <w:left w:type="dxa" w:w="120"/>
              <w:bottom w:type="dxa" w:w="100"/>
              <w:right w:type="dxa" w:w="120"/>
            </w:tcMar>
          </w:tcPr>
          <w:p>
            <w:r>
              <w:rPr>
                <w:rFonts w:ascii="Arial" w:cs="Arial" w:eastAsia="Arial" w:hAnsi="Arial"/>
                <w:b/>
                <w:bCs/>
                <w:color w:val="FFFFFF"/>
                <w:sz w:val="20"/>
                <w:szCs w:val="20"/>
              </w:rPr>
              <w:t xml:space="preserve">Indicateur</w:t>
            </w:r>
          </w:p>
        </w:tc>
        <w:tc>
          <w:tcPr>
            <w:tcW w:type="dxa" w:w="1500"/>
            <w:tcBorders>
              <w:top w:val="single" w:color="CCCCCC" w:sz="1"/>
              <w:left w:val="single" w:color="CCCCCC" w:sz="1"/>
              <w:bottom w:val="single" w:color="CCCCCC" w:sz="1"/>
              <w:right w:val="single" w:color="CCCCCC" w:sz="1"/>
            </w:tcBorders>
            <w:shd w:fill="1B2A6B" w:val="clear"/>
            <w:tcMar>
              <w:top w:type="dxa" w:w="100"/>
              <w:left w:type="dxa" w:w="120"/>
              <w:bottom w:type="dxa" w:w="100"/>
              <w:right w:type="dxa" w:w="120"/>
            </w:tcMar>
          </w:tcPr>
          <w:p>
            <w:r>
              <w:rPr>
                <w:rFonts w:ascii="Arial" w:cs="Arial" w:eastAsia="Arial" w:hAnsi="Arial"/>
                <w:b/>
                <w:bCs/>
                <w:color w:val="FFFFFF"/>
                <w:sz w:val="20"/>
                <w:szCs w:val="20"/>
              </w:rPr>
              <w:t xml:space="preserve">Valeur</w:t>
            </w:r>
          </w:p>
        </w:tc>
        <w:tc>
          <w:tcPr>
            <w:tcW w:type="dxa" w:w="5126"/>
            <w:tcBorders>
              <w:top w:val="single" w:color="CCCCCC" w:sz="1"/>
              <w:left w:val="single" w:color="CCCCCC" w:sz="1"/>
              <w:bottom w:val="single" w:color="CCCCCC" w:sz="1"/>
              <w:right w:val="single" w:color="CCCCCC" w:sz="1"/>
            </w:tcBorders>
            <w:shd w:fill="1B2A6B" w:val="clear"/>
            <w:tcMar>
              <w:top w:type="dxa" w:w="100"/>
              <w:left w:type="dxa" w:w="120"/>
              <w:bottom w:type="dxa" w:w="100"/>
              <w:right w:type="dxa" w:w="120"/>
            </w:tcMar>
          </w:tcPr>
          <w:p>
            <w:r>
              <w:rPr>
                <w:rFonts w:ascii="Arial" w:cs="Arial" w:eastAsia="Arial" w:hAnsi="Arial"/>
                <w:b/>
                <w:bCs/>
                <w:color w:val="FFFFFF"/>
                <w:sz w:val="20"/>
                <w:szCs w:val="20"/>
              </w:rPr>
              <w:t xml:space="preserve">Source &amp; Signification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Communes ivoiriennes avec budgets combinés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&gt; 300 Mds FCFA/an</w:t>
            </w:r>
          </w:p>
        </w:tc>
        <w:tc>
          <w:tcPr>
            <w:tcW w:type="dxa" w:w="5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UVICOCI / Min. de l'Intérieur — Ces fonds financent des services essentiels sans contrôle citoyen effectif.</w:t>
            </w:r>
          </w:p>
        </w:tc>
      </w:tr>
      <w:tr>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sz w:val="20"/>
                <w:szCs w:val="20"/>
              </w:rPr>
              <w:t xml:space="preserve">Communes publiant leurs comptes</w:t>
            </w:r>
          </w:p>
        </w:tc>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sz w:val="20"/>
                <w:szCs w:val="20"/>
              </w:rPr>
              <w:t xml:space="preserve">&lt; 10 %</w:t>
            </w:r>
          </w:p>
        </w:tc>
        <w:tc>
          <w:tcPr>
            <w:tcW w:type="dxa" w:w="51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sz w:val="20"/>
                <w:szCs w:val="20"/>
              </w:rPr>
              <w:t xml:space="preserve">Données IBP / Cour des Comptes CI — Quasi-totalité des communes ne rendent pas leurs comptes accessibles au public.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Comptes communaux audités avec irrégularités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65 %</w:t>
            </w:r>
          </w:p>
        </w:tc>
        <w:tc>
          <w:tcPr>
            <w:tcW w:type="dxa" w:w="5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Cour des Comptes CI, rapports 2018–2022 — 2 comptes sur 3 présentent des anomalies significatives.</w:t>
            </w:r>
          </w:p>
        </w:tc>
      </w:tr>
      <w:tr>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sz w:val="20"/>
                <w:szCs w:val="20"/>
              </w:rPr>
              <w:t xml:space="preserve">Score national de transparence budgétaire</w:t>
            </w:r>
          </w:p>
        </w:tc>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sz w:val="20"/>
                <w:szCs w:val="20"/>
              </w:rPr>
              <w:t xml:space="preserve">54/100 (2023)</w:t>
            </w:r>
          </w:p>
        </w:tc>
        <w:tc>
          <w:tcPr>
            <w:tcW w:type="dxa" w:w="51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sz w:val="20"/>
                <w:szCs w:val="20"/>
              </w:rPr>
              <w:t xml:space="preserve">IBP, Open Budget Survey 2023 — Progression nationale, mais score de participation publique de 4/100 seulement.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Citoyens accédant à une info sur leur budget communal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&lt; 3 %</w:t>
            </w:r>
          </w:p>
        </w:tc>
        <w:tc>
          <w:tcPr>
            <w:tcW w:type="dxa" w:w="5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Estimations IBP / ONG locales — Proportion quasi nulle par manque de publication des données communales.</w:t>
            </w:r>
          </w:p>
        </w:tc>
      </w:tr>
    </w:tbl>
    <w:p>
      <w:pPr>
        <w:spacing w:after="200" w:before="0"/>
      </w:pPr>
    </w:p>
    <w:p>
      <w:pPr>
        <w:pStyle w:val="Heading2"/>
        <w:spacing w:after="160" w:before="280"/>
      </w:pPr>
      <w:r>
        <w:rPr>
          <w:rFonts w:ascii="Arial" w:cs="Arial" w:eastAsia="Arial" w:hAnsi="Arial"/>
          <w:b/>
          <w:bCs/>
          <w:color w:val="1B2A6B"/>
          <w:sz w:val="24"/>
          <w:szCs w:val="24"/>
        </w:rPr>
        <w:t xml:space="preserve">2.1 L'indice de transparence budgétaire : une progression nationale, une opacité locale persistante</w:t>
      </w:r>
    </w:p>
    <w:p>
      <w:pPr>
        <w:spacing w:after="120" w:before="80"/>
        <w:jc w:val="both"/>
      </w:pPr>
      <w:r>
        <w:rPr>
          <w:rFonts w:ascii="Arial" w:cs="Arial" w:eastAsia="Arial" w:hAnsi="Arial"/>
          <w:sz w:val="22"/>
          <w:szCs w:val="22"/>
        </w:rPr>
        <w:t xml:space="preserve">L'Enquête sur le Budget Ouvert (EBO) de l'International Budget Partnership (IBP) est la référence internationale pour mesurer la transparence budgétaire nationale. La Côte d'Ivoire a réalisé des progrès substantiels au niveau central :</w:t>
      </w:r>
    </w:p>
    <w:p>
      <w:pPr>
        <w:spacing w:after="100" w:before="0"/>
      </w:pP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226"/>
      </w:tblGrid>
      <w:tr>
        <w:trPr>
          <w:tblHeader/>
        </w:trPr>
        <w:tc>
          <w:tcPr>
            <w:tcW w:type="dxa" w:w="1500"/>
            <w:tcBorders>
              <w:top w:val="single" w:color="CCCCCC" w:sz="1"/>
              <w:left w:val="single" w:color="CCCCCC" w:sz="1"/>
              <w:bottom w:val="single" w:color="CCCCCC" w:sz="1"/>
              <w:right w:val="single" w:color="CCCCCC" w:sz="1"/>
            </w:tcBorders>
            <w:shd w:fill="1B2A6B" w:val="clear"/>
            <w:tcMar>
              <w:top w:type="dxa" w:w="100"/>
              <w:left w:type="dxa" w:w="120"/>
              <w:bottom w:type="dxa" w:w="100"/>
              <w:right w:type="dxa" w:w="120"/>
            </w:tcMar>
          </w:tcPr>
          <w:p>
            <w:r>
              <w:rPr>
                <w:rFonts w:ascii="Arial" w:cs="Arial" w:eastAsia="Arial" w:hAnsi="Arial"/>
                <w:b/>
                <w:bCs/>
                <w:color w:val="FFFFFF"/>
                <w:sz w:val="20"/>
                <w:szCs w:val="20"/>
              </w:rPr>
              <w:t xml:space="preserve">Année</w:t>
            </w:r>
          </w:p>
        </w:tc>
        <w:tc>
          <w:tcPr>
            <w:tcW w:type="dxa" w:w="1500"/>
            <w:tcBorders>
              <w:top w:val="single" w:color="CCCCCC" w:sz="1"/>
              <w:left w:val="single" w:color="CCCCCC" w:sz="1"/>
              <w:bottom w:val="single" w:color="CCCCCC" w:sz="1"/>
              <w:right w:val="single" w:color="CCCCCC" w:sz="1"/>
            </w:tcBorders>
            <w:shd w:fill="1B2A6B" w:val="clear"/>
            <w:tcMar>
              <w:top w:type="dxa" w:w="100"/>
              <w:left w:type="dxa" w:w="120"/>
              <w:bottom w:type="dxa" w:w="100"/>
              <w:right w:type="dxa" w:w="120"/>
            </w:tcMar>
          </w:tcPr>
          <w:p>
            <w:r>
              <w:rPr>
                <w:rFonts w:ascii="Arial" w:cs="Arial" w:eastAsia="Arial" w:hAnsi="Arial"/>
                <w:b/>
                <w:bCs/>
                <w:color w:val="FFFFFF"/>
                <w:sz w:val="20"/>
                <w:szCs w:val="20"/>
              </w:rPr>
              <w:t xml:space="preserve">Score OBI</w:t>
            </w:r>
          </w:p>
        </w:tc>
        <w:tc>
          <w:tcPr>
            <w:tcW w:type="dxa" w:w="6226"/>
            <w:tcBorders>
              <w:top w:val="single" w:color="CCCCCC" w:sz="1"/>
              <w:left w:val="single" w:color="CCCCCC" w:sz="1"/>
              <w:bottom w:val="single" w:color="CCCCCC" w:sz="1"/>
              <w:right w:val="single" w:color="CCCCCC" w:sz="1"/>
            </w:tcBorders>
            <w:shd w:fill="1B2A6B" w:val="clear"/>
            <w:tcMar>
              <w:top w:type="dxa" w:w="100"/>
              <w:left w:type="dxa" w:w="120"/>
              <w:bottom w:type="dxa" w:w="100"/>
              <w:right w:type="dxa" w:w="120"/>
            </w:tcMar>
          </w:tcPr>
          <w:p>
            <w:r>
              <w:rPr>
                <w:rFonts w:ascii="Arial" w:cs="Arial" w:eastAsia="Arial" w:hAnsi="Arial"/>
                <w:b/>
                <w:bCs/>
                <w:color w:val="FFFFFF"/>
                <w:sz w:val="20"/>
                <w:szCs w:val="20"/>
              </w:rPr>
              <w:t xml:space="preserve">Contexte principal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2012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24/100</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Information budgétaire quasi inexistante</w:t>
            </w:r>
          </w:p>
        </w:tc>
      </w:tr>
      <w:tr>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sz w:val="20"/>
                <w:szCs w:val="20"/>
              </w:rPr>
              <w:t xml:space="preserve">2015</w:t>
            </w:r>
          </w:p>
        </w:tc>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sz w:val="20"/>
                <w:szCs w:val="20"/>
              </w:rPr>
              <w:t xml:space="preserve">34/100</w:t>
            </w:r>
          </w:p>
        </w:tc>
        <w:tc>
          <w:tcPr>
            <w:tcW w:type="dxa" w:w="62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sz w:val="20"/>
                <w:szCs w:val="20"/>
              </w:rPr>
              <w:t xml:space="preserve">Premières publications en ligne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2017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47/100</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Adhésion à l'Open Government Partnership (OGP), premières réformes structurelles</w:t>
            </w:r>
          </w:p>
        </w:tc>
      </w:tr>
      <w:tr>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sz w:val="20"/>
                <w:szCs w:val="20"/>
              </w:rPr>
              <w:t xml:space="preserve">2021</w:t>
            </w:r>
          </w:p>
        </w:tc>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sz w:val="20"/>
                <w:szCs w:val="20"/>
              </w:rPr>
              <w:t xml:space="preserve">47/100</w:t>
            </w:r>
          </w:p>
        </w:tc>
        <w:tc>
          <w:tcPr>
            <w:tcW w:type="dxa" w:w="62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sz w:val="20"/>
                <w:szCs w:val="20"/>
              </w:rPr>
              <w:t xml:space="preserve">Stagnation malgré les réformes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2023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54/100</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Publication de la Revue de mi-année, progrès notables au niveau central</w:t>
            </w:r>
          </w:p>
        </w:tc>
      </w:tr>
    </w:tbl>
    <w:p>
      <w:pPr>
        <w:spacing w:after="160" w:before="0"/>
      </w:pPr>
    </w:p>
    <w:p>
      <w:pPr>
        <w:spacing w:after="120" w:before="80"/>
        <w:jc w:val="both"/>
      </w:pPr>
      <w:r>
        <w:rPr>
          <w:rFonts w:ascii="Arial" w:cs="Arial" w:eastAsia="Arial" w:hAnsi="Arial"/>
          <w:b/>
          <w:bCs/>
          <w:color w:val="D4681E"/>
          <w:sz w:val="22"/>
          <w:szCs w:val="22"/>
        </w:rPr>
        <w:t xml:space="preserve">Note importante sur les scores : </w:t>
      </w:r>
      <w:r>
        <w:rPr>
          <w:rFonts w:ascii="Arial" w:cs="Arial" w:eastAsia="Arial" w:hAnsi="Arial"/>
          <w:sz w:val="22"/>
          <w:szCs w:val="22"/>
        </w:rPr>
        <w:t xml:space="preserve">Le cahier des charges du projet BudgetOuvert (MIABE Hackathon 2026) fait référence à un indice IBP de 36/100. Ce chiffre correspond à l'édition 2021 de l'EBO (score de participation publique). L'édition 2023 indique un score global de 54/100, qui concerne quasi-exclusivement les finances de l'État central. Aucune donnée systématique n'est disponible sur la transparence spécifique des 201 communes — ce vide documentaire illustre précisément le problème que BudgetOuvert entend résoudre.</w:t>
      </w:r>
      <w:r>
        <w:rPr>
          <w:rStyle w:val="FootnoteReference"/>
        </w:rPr>
        <w:footnoteReference w:id="4"/>
      </w:r>
    </w:p>
    <w:p>
      <w:pPr>
        <w:spacing w:after="120" w:before="80"/>
        <w:jc w:val="both"/>
      </w:pPr>
      <w:r>
        <w:rPr>
          <w:rFonts w:ascii="Arial" w:cs="Arial" w:eastAsia="Arial" w:hAnsi="Arial"/>
          <w:sz w:val="22"/>
          <w:szCs w:val="22"/>
        </w:rPr>
        <w:t xml:space="preserve">Le score de participation publique de 4/100 signifie que les citoyens ivoiriens ont quasi aucune opportunité institutionnelle de s'engager dans le processus budgétaire, que ce soit au niveau national ou local. Ce chiffre est particulièrement révélateur de l'ampleur du déficit démocratique en matière de gouvernance financière.</w:t>
      </w:r>
    </w:p>
    <w:p>
      <w:pPr>
        <w:pStyle w:val="Heading2"/>
        <w:spacing w:after="160" w:before="280"/>
      </w:pPr>
      <w:r>
        <w:rPr>
          <w:rFonts w:ascii="Arial" w:cs="Arial" w:eastAsia="Arial" w:hAnsi="Arial"/>
          <w:b/>
          <w:bCs/>
          <w:color w:val="1B2A6B"/>
          <w:sz w:val="24"/>
          <w:szCs w:val="24"/>
        </w:rPr>
        <w:t xml:space="preserve">2.2 La faiblesse structurelle des ressources communales</w:t>
      </w:r>
    </w:p>
    <w:p>
      <w:pPr>
        <w:spacing w:after="120" w:before="80"/>
        <w:jc w:val="both"/>
      </w:pPr>
      <w:r>
        <w:rPr>
          <w:rFonts w:ascii="Arial" w:cs="Arial" w:eastAsia="Arial" w:hAnsi="Arial"/>
          <w:sz w:val="22"/>
          <w:szCs w:val="22"/>
        </w:rPr>
        <w:t xml:space="preserve">La décentralisation ivoirienne souffre d'un déséquilibre fondamental et documenté : les compétences ont été formellement transférées aux communes, mais les ressources financières correspondantes restent largement captées par les ministères techniques basés à Abidjan. Des responsables politiques ivoiriens ont publiquement reconnu que les budgets destinés aux collectivités restent souvent contrôlés par les ministères techniques, en contradiction directe avec l'objectif d'autonomie financière décentralisée.</w:t>
      </w:r>
    </w:p>
    <w:p>
      <w:pPr>
        <w:spacing w:after="120" w:before="80"/>
        <w:jc w:val="both"/>
      </w:pPr>
      <w:r>
        <w:rPr>
          <w:rFonts w:ascii="Arial" w:cs="Arial" w:eastAsia="Arial" w:hAnsi="Arial"/>
          <w:sz w:val="22"/>
          <w:szCs w:val="22"/>
        </w:rPr>
        <w:t xml:space="preserve">Cette situation de dépendance financière crée une double opacité : les communes n'ont pas les ressources pour développer des outils de publication, et les transferts de l'État arrivent souvent avec des retards et selon des modalités peu prévisibles, rendant encore plus difficile la production de comptes fiables et actualisés.</w:t>
      </w:r>
    </w:p>
    <w:p>
      <w:r>
        <w:br w:type="page"/>
      </w:r>
    </w:p>
    <w:p>
      <w:pPr>
        <w:pStyle w:val="Heading1"/>
        <w:spacing w:after="200" w:before="360"/>
      </w:pPr>
      <w:r>
        <w:rPr>
          <w:rFonts w:ascii="Arial" w:cs="Arial" w:eastAsia="Arial" w:hAnsi="Arial"/>
          <w:b/>
          <w:bCs/>
          <w:color w:val="1B2A6B"/>
          <w:sz w:val="28"/>
          <w:szCs w:val="28"/>
        </w:rPr>
        <w:t xml:space="preserve">CHAPITRE 3 — LES IRRÉGULARITÉS DOCUMENTÉES PAR LA COUR DES COMPTES</w:t>
      </w:r>
    </w:p>
    <w:p>
      <w:pPr>
        <w:pBdr>
          <w:bottom w:val="single" w:color="1B2A6B" w:sz="8" w:space="1"/>
        </w:pBdr>
        <w:spacing w:after="160" w:before="0"/>
      </w:pPr>
    </w:p>
    <w:p>
      <w:pPr>
        <w:pStyle w:val="Heading2"/>
        <w:spacing w:after="160" w:before="280"/>
      </w:pPr>
      <w:r>
        <w:rPr>
          <w:rFonts w:ascii="Arial" w:cs="Arial" w:eastAsia="Arial" w:hAnsi="Arial"/>
          <w:b/>
          <w:bCs/>
          <w:color w:val="1B2A6B"/>
          <w:sz w:val="24"/>
          <w:szCs w:val="24"/>
        </w:rPr>
        <w:t xml:space="preserve">3.1 Les principales catégories d'irrégularités relevées</w:t>
      </w:r>
    </w:p>
    <w:p>
      <w:pPr>
        <w:spacing w:after="120" w:before="80"/>
        <w:jc w:val="both"/>
      </w:pPr>
      <w:r>
        <w:rPr>
          <w:rFonts w:ascii="Arial" w:cs="Arial" w:eastAsia="Arial" w:hAnsi="Arial"/>
          <w:sz w:val="22"/>
          <w:szCs w:val="22"/>
        </w:rPr>
        <w:t xml:space="preserve">Les rapports successifs de la Cour des Comptes de Côte d'Ivoire — notamment ceux remis au Président de la République pour les exercices 2014, 2015, 2016, 2017, 2021 et 2022 — documentent de façon systématique les manquements dans la gestion des finances publiques des collectivités territoriales. Ces rapports sont disponibles publiquement sur le site officiel www.courdescomptes.ci.</w:t>
      </w:r>
    </w:p>
    <w:p>
      <w:pPr>
        <w:spacing w:after="120" w:before="0"/>
      </w:pP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826"/>
      </w:tblGrid>
      <w:tr>
        <w:trPr>
          <w:tblHeader/>
        </w:trPr>
        <w:tc>
          <w:tcPr>
            <w:tcW w:type="dxa" w:w="2800"/>
            <w:tcBorders>
              <w:top w:val="single" w:color="CCCCCC" w:sz="1"/>
              <w:left w:val="single" w:color="CCCCCC" w:sz="1"/>
              <w:bottom w:val="single" w:color="CCCCCC" w:sz="1"/>
              <w:right w:val="single" w:color="CCCCCC" w:sz="1"/>
            </w:tcBorders>
            <w:shd w:fill="1B2A6B" w:val="clear"/>
            <w:tcMar>
              <w:top w:type="dxa" w:w="100"/>
              <w:left w:type="dxa" w:w="120"/>
              <w:bottom w:type="dxa" w:w="100"/>
              <w:right w:type="dxa" w:w="120"/>
            </w:tcMar>
          </w:tcPr>
          <w:p>
            <w:r>
              <w:rPr>
                <w:rFonts w:ascii="Arial" w:cs="Arial" w:eastAsia="Arial" w:hAnsi="Arial"/>
                <w:b/>
                <w:bCs/>
                <w:color w:val="FFFFFF"/>
                <w:sz w:val="20"/>
                <w:szCs w:val="20"/>
              </w:rPr>
              <w:t xml:space="preserve">Type d'irrégularité</w:t>
            </w:r>
          </w:p>
        </w:tc>
        <w:tc>
          <w:tcPr>
            <w:tcW w:type="dxa" w:w="1600"/>
            <w:tcBorders>
              <w:top w:val="single" w:color="CCCCCC" w:sz="1"/>
              <w:left w:val="single" w:color="CCCCCC" w:sz="1"/>
              <w:bottom w:val="single" w:color="CCCCCC" w:sz="1"/>
              <w:right w:val="single" w:color="CCCCCC" w:sz="1"/>
            </w:tcBorders>
            <w:shd w:fill="1B2A6B" w:val="clear"/>
            <w:tcMar>
              <w:top w:type="dxa" w:w="100"/>
              <w:left w:type="dxa" w:w="120"/>
              <w:bottom w:type="dxa" w:w="100"/>
              <w:right w:type="dxa" w:w="120"/>
            </w:tcMar>
          </w:tcPr>
          <w:p>
            <w:r>
              <w:rPr>
                <w:rFonts w:ascii="Arial" w:cs="Arial" w:eastAsia="Arial" w:hAnsi="Arial"/>
                <w:b/>
                <w:bCs/>
                <w:color w:val="FFFFFF"/>
                <w:sz w:val="20"/>
                <w:szCs w:val="20"/>
              </w:rPr>
              <w:t xml:space="preserve">Fréquence estimée</w:t>
            </w:r>
          </w:p>
        </w:tc>
        <w:tc>
          <w:tcPr>
            <w:tcW w:type="dxa" w:w="4826"/>
            <w:tcBorders>
              <w:top w:val="single" w:color="CCCCCC" w:sz="1"/>
              <w:left w:val="single" w:color="CCCCCC" w:sz="1"/>
              <w:bottom w:val="single" w:color="CCCCCC" w:sz="1"/>
              <w:right w:val="single" w:color="CCCCCC" w:sz="1"/>
            </w:tcBorders>
            <w:shd w:fill="1B2A6B"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Absence de pièces justificatives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~23 % des anomalies</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Dépenses enregistrées sans factures, bons de commande ou contrats. Type le plus fréquent.</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sz w:val="20"/>
                <w:szCs w:val="20"/>
              </w:rPr>
              <w:t xml:space="preserve">Factures non normalisées</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sz w:val="20"/>
                <w:szCs w:val="20"/>
              </w:rPr>
              <w:t xml:space="preserve">~19 % des anomalies</w:t>
            </w:r>
          </w:p>
        </w:tc>
        <w:tc>
          <w:tcPr>
            <w:tcW w:type="dxa" w:w="48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sz w:val="20"/>
                <w:szCs w:val="20"/>
              </w:rPr>
              <w:t xml:space="preserve">Factures produites ne respectant pas les standards légaux ou incomplètes.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Défaut de marchés publics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~18 % des anomalies</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Dépenses importantes sans mise en concurrence préalable, en violation du Code des marchés publics.</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sz w:val="20"/>
                <w:szCs w:val="20"/>
              </w:rPr>
              <w:t xml:space="preserve">Faible taux d'exécution budgétaire</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sz w:val="20"/>
                <w:szCs w:val="20"/>
              </w:rPr>
              <w:t xml:space="preserve">~15 % des anomalies</w:t>
            </w:r>
          </w:p>
        </w:tc>
        <w:tc>
          <w:tcPr>
            <w:tcW w:type="dxa" w:w="48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sz w:val="20"/>
                <w:szCs w:val="20"/>
              </w:rPr>
              <w:t xml:space="preserve">Crédits votés non dépensés ou dépensés sans autorisation, créant des écarts non justifiés.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Dépenses sans couverture budgétaire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~13 % des anomalies</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Compte 470 (avances de trésorerie) en croissance continue, révélant des dépenses sans base légale.</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sz w:val="20"/>
                <w:szCs w:val="20"/>
              </w:rPr>
              <w:t xml:space="preserve">Absence de justificatifs comptables</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sz w:val="20"/>
                <w:szCs w:val="20"/>
              </w:rPr>
              <w:t xml:space="preserve">~12 % des anomalies</w:t>
            </w:r>
          </w:p>
        </w:tc>
        <w:tc>
          <w:tcPr>
            <w:tcW w:type="dxa" w:w="48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sz w:val="20"/>
                <w:szCs w:val="20"/>
              </w:rPr>
              <w:t xml:space="preserve">Comptables dans l'incapacité de fournir les pièces pour des dépenses enregistrées.</w:t>
            </w:r>
          </w:p>
        </w:tc>
      </w:tr>
    </w:tbl>
    <w:p>
      <w:pPr>
        <w:spacing w:after="160" w:before="0"/>
      </w:pPr>
    </w:p>
    <w:p>
      <w:pPr>
        <w:spacing w:after="120" w:before="60"/>
        <w:jc w:val="both"/>
      </w:pPr>
      <w:r>
        <w:rPr>
          <w:rFonts w:ascii="Arial" w:cs="Arial" w:eastAsia="Arial" w:hAnsi="Arial"/>
          <w:b/>
          <w:bCs/>
          <w:sz w:val="21"/>
          <w:szCs w:val="21"/>
        </w:rPr>
        <w:t xml:space="preserve">Source : </w:t>
      </w:r>
      <w:r>
        <w:rPr>
          <w:rFonts w:ascii="Arial" w:cs="Arial" w:eastAsia="Arial" w:hAnsi="Arial"/>
          <w:sz w:val="21"/>
          <w:szCs w:val="21"/>
        </w:rPr>
        <w:t xml:space="preserve">Cour des Comptes de Côte d'Ivoire, Rapports annuels sur l'exécution des Lois de Finances (2014, 2015, 2016, 2017, 2021, 2022). Les pourcentages sont des estimations basées sur la fréquence des mentions dans les rapports officiels. </w:t>
      </w:r>
      <w:r>
        <w:rPr>
          <w:rStyle w:val="FootnoteReference"/>
        </w:rPr>
        <w:footnoteReference w:id="3"/>
      </w:r>
    </w:p>
    <w:p>
      <w:pPr>
        <w:pStyle w:val="Heading2"/>
        <w:spacing w:after="160" w:before="280"/>
      </w:pPr>
      <w:r>
        <w:rPr>
          <w:rFonts w:ascii="Arial" w:cs="Arial" w:eastAsia="Arial" w:hAnsi="Arial"/>
          <w:b/>
          <w:bCs/>
          <w:color w:val="1B2A6B"/>
          <w:sz w:val="24"/>
          <w:szCs w:val="24"/>
        </w:rPr>
        <w:t xml:space="preserve">3.2 Le rapport sur l'exécution du budget 2022 : un cas emblématique</w:t>
      </w:r>
    </w:p>
    <w:p>
      <w:pPr>
        <w:spacing w:after="120" w:before="80"/>
        <w:jc w:val="both"/>
      </w:pPr>
      <w:r>
        <w:rPr>
          <w:rFonts w:ascii="Arial" w:cs="Arial" w:eastAsia="Arial" w:hAnsi="Arial"/>
          <w:sz w:val="22"/>
          <w:szCs w:val="22"/>
        </w:rPr>
        <w:t xml:space="preserve">Le Rapport Définitif sur l'Exécution de la Loi de Finances pour l'année 2022, publié par la Cour des Comptes ivoirienne, illustre la gravité systémique du problème. Ce document officiel — disponible sur www.courdescomptes.ci — révèle plusieurs anomalies majeures :</w:t>
      </w:r>
    </w:p>
    <w:p>
      <w:pPr>
        <w:pStyle w:val="ListParagraph"/>
        <w:numPr>
          <w:ilvl w:val="0"/>
          <w:numId w:val="2"/>
        </w:numPr>
        <w:spacing w:after="60" w:before="60"/>
      </w:pPr>
      <w:r>
        <w:rPr>
          <w:rFonts w:ascii="Arial" w:cs="Arial" w:eastAsia="Arial" w:hAnsi="Arial"/>
          <w:sz w:val="22"/>
          <w:szCs w:val="22"/>
        </w:rPr>
        <w:t xml:space="preserve">14 projets financés sur dons, d'un montant total de 34,24 milliards FCFA, n'ont connu aucun début d'exécution.</w:t>
      </w:r>
    </w:p>
    <w:p>
      <w:pPr>
        <w:pStyle w:val="ListParagraph"/>
        <w:numPr>
          <w:ilvl w:val="0"/>
          <w:numId w:val="2"/>
        </w:numPr>
        <w:spacing w:after="60" w:before="60"/>
      </w:pPr>
      <w:r>
        <w:rPr>
          <w:rFonts w:ascii="Arial" w:cs="Arial" w:eastAsia="Arial" w:hAnsi="Arial"/>
          <w:sz w:val="22"/>
          <w:szCs w:val="22"/>
        </w:rPr>
        <w:t xml:space="preserve">Les projets financés sur dons ont été exécutés à hauteur de seulement 47,4 % des prévisions.</w:t>
      </w:r>
    </w:p>
    <w:p>
      <w:pPr>
        <w:pStyle w:val="ListParagraph"/>
        <w:numPr>
          <w:ilvl w:val="0"/>
          <w:numId w:val="2"/>
        </w:numPr>
        <w:spacing w:after="60" w:before="60"/>
      </w:pPr>
      <w:r>
        <w:rPr>
          <w:rFonts w:ascii="Arial" w:cs="Arial" w:eastAsia="Arial" w:hAnsi="Arial"/>
          <w:sz w:val="22"/>
          <w:szCs w:val="22"/>
        </w:rPr>
        <w:t xml:space="preserve">Plusieurs ministères ont été épinglés, notamment l'Éducation nationale, la Santé, le Commerce et l'Environnement.</w:t>
      </w:r>
    </w:p>
    <w:p>
      <w:pPr>
        <w:pStyle w:val="ListParagraph"/>
        <w:numPr>
          <w:ilvl w:val="0"/>
          <w:numId w:val="2"/>
        </w:numPr>
        <w:spacing w:after="60" w:before="60"/>
      </w:pPr>
      <w:r>
        <w:rPr>
          <w:rFonts w:ascii="Arial" w:cs="Arial" w:eastAsia="Arial" w:hAnsi="Arial"/>
          <w:sz w:val="22"/>
          <w:szCs w:val="22"/>
        </w:rPr>
        <w:t xml:space="preserve">Des irrégularités significatives ont été relevées dans les dépenses d'investissement sur financement extérieur.</w:t>
      </w:r>
    </w:p>
    <w:p>
      <w:pPr>
        <w:spacing w:after="100" w:before="0"/>
      </w:pPr>
    </w:p>
    <w:p>
      <w:pPr>
        <w:spacing w:after="120" w:before="60"/>
      </w:pPr>
      <w:r>
        <w:rPr>
          <w:rFonts w:ascii="Arial" w:cs="Arial" w:eastAsia="Arial" w:hAnsi="Arial"/>
          <w:b/>
          <w:bCs/>
          <w:sz w:val="21"/>
          <w:szCs w:val="21"/>
        </w:rPr>
        <w:t xml:space="preserve">Source : </w:t>
      </w:r>
      <w:r>
        <w:rPr>
          <w:rFonts w:ascii="Arial" w:cs="Arial" w:eastAsia="Arial" w:hAnsi="Arial"/>
          <w:sz w:val="21"/>
          <w:szCs w:val="21"/>
        </w:rPr>
        <w:t xml:space="preserve">Cour des Comptes de Côte d'Ivoire, Rapport Définitif sur l'Exécution de la Loi de Finances 2022. Agence Anadolu, 'Côte d'Ivoire : plusieurs ministères épinglés par un rapport de la Cour des comptes'. </w:t>
      </w:r>
      <w:r>
        <w:rPr>
          <w:rStyle w:val="FootnoteReference"/>
        </w:rPr>
        <w:footnoteReference w:id="7"/>
      </w:r>
    </w:p>
    <w:p>
      <w:pPr>
        <w:pStyle w:val="Heading2"/>
        <w:spacing w:after="160" w:before="280"/>
      </w:pPr>
      <w:r>
        <w:rPr>
          <w:rFonts w:ascii="Arial" w:cs="Arial" w:eastAsia="Arial" w:hAnsi="Arial"/>
          <w:b/>
          <w:bCs/>
          <w:color w:val="1B2A6B"/>
          <w:sz w:val="24"/>
          <w:szCs w:val="24"/>
        </w:rPr>
        <w:t xml:space="preserve">3.3 Exemples concrets construits sur les typologies documentées</w:t>
      </w:r>
    </w:p>
    <w:p>
      <w:pPr>
        <w:spacing w:after="120" w:before="80"/>
        <w:jc w:val="both"/>
      </w:pPr>
      <w:r>
        <w:rPr>
          <w:rFonts w:ascii="Arial" w:cs="Arial" w:eastAsia="Arial" w:hAnsi="Arial"/>
          <w:sz w:val="22"/>
          <w:szCs w:val="22"/>
        </w:rPr>
        <w:t xml:space="preserve">Les exemples suivants sont construits à partir des typologies d'irrégularités documentées dans les rapports officiels de la Cour des Comptes. Ils illustrent les pratiques qui se produisent au niveau communal et qui restent invisibles pour les citoyens faute de transparence :</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6B" w:sz="1"/>
              <w:left w:val="single" w:color="1B2A6B" w:sz="1"/>
              <w:bottom w:val="single" w:color="1B2A6B" w:sz="1"/>
              <w:right w:val="single" w:color="1B2A6B" w:sz="1"/>
            </w:tcBorders>
            <w:shd w:fill="1B2A6B" w:val="clear"/>
            <w:tcMar>
              <w:top w:type="dxa" w:w="160"/>
              <w:left w:type="dxa" w:w="200"/>
              <w:bottom w:type="dxa" w:w="160"/>
              <w:right w:type="dxa" w:w="200"/>
            </w:tcMar>
          </w:tcPr>
          <w:p>
            <w:pPr>
              <w:spacing w:after="80" w:before="0"/>
            </w:pPr>
            <w:r>
              <w:rPr>
                <w:rFonts w:ascii="Arial" w:cs="Arial" w:eastAsia="Arial" w:hAnsi="Arial"/>
                <w:b/>
                <w:bCs/>
                <w:color w:val="FFFFFF"/>
                <w:sz w:val="22"/>
                <w:szCs w:val="22"/>
              </w:rPr>
              <w:t xml:space="preserve">EXEMPLE TYPE 1 — Dépense non justifiée (~23 % des anomalies)</w:t>
            </w:r>
          </w:p>
          <w:p>
            <w:pPr>
              <w:spacing w:after="40" w:before="40"/>
            </w:pPr>
            <w:r>
              <w:rPr>
                <w:rFonts w:ascii="Arial" w:cs="Arial" w:eastAsia="Arial" w:hAnsi="Arial"/>
                <w:color w:val="FFFFFF"/>
                <w:sz w:val="21"/>
                <w:szCs w:val="21"/>
              </w:rPr>
              <w:t xml:space="preserve">Une commune enregistre une dépense de 18 millions FCFA pour des 'fournitures de bureau'</w:t>
            </w:r>
          </w:p>
          <w:p>
            <w:pPr>
              <w:spacing w:after="40" w:before="40"/>
            </w:pPr>
            <w:r>
              <w:rPr>
                <w:rFonts w:ascii="Arial" w:cs="Arial" w:eastAsia="Arial" w:hAnsi="Arial"/>
                <w:color w:val="FFFFFF"/>
                <w:sz w:val="21"/>
                <w:szCs w:val="21"/>
              </w:rPr>
              <w:t xml:space="preserve">sans aucune facture, bon de commande ou marché public associé.</w:t>
            </w:r>
          </w:p>
          <w:p>
            <w:pPr>
              <w:spacing w:after="40" w:before="40"/>
            </w:pPr>
            <w:r>
              <w:rPr>
                <w:rFonts w:ascii="Arial" w:cs="Arial" w:eastAsia="Arial" w:hAnsi="Arial"/>
                <w:color w:val="FFFFFF"/>
                <w:sz w:val="21"/>
                <w:szCs w:val="21"/>
              </w:rPr>
              <w:t xml:space="preserve">L'opération figure dans le compte administratif de l'ordonnateur,</w:t>
            </w:r>
          </w:p>
          <w:p>
            <w:pPr>
              <w:spacing w:after="40" w:before="40"/>
            </w:pPr>
            <w:r>
              <w:rPr>
                <w:rFonts w:ascii="Arial" w:cs="Arial" w:eastAsia="Arial" w:hAnsi="Arial"/>
                <w:color w:val="FFFFFF"/>
                <w:sz w:val="21"/>
                <w:szCs w:val="21"/>
              </w:rPr>
              <w:t xml:space="preserve">mais aucun justificatif ne peut être produit à l'auditeur.</w:t>
            </w:r>
          </w:p>
          <w:p>
            <w:pPr>
              <w:spacing w:after="40" w:before="40"/>
            </w:pPr>
            <w:r>
              <w:rPr>
                <w:rFonts w:ascii="Arial" w:cs="Arial" w:eastAsia="Arial" w:hAnsi="Arial"/>
                <w:color w:val="FFFFFF"/>
                <w:sz w:val="21"/>
                <w:szCs w:val="21"/>
              </w:rPr>
              <w:t xml:space="preserve"/>
            </w:r>
          </w:p>
          <w:p>
            <w:pPr>
              <w:spacing w:after="40" w:before="40"/>
            </w:pPr>
            <w:r>
              <w:rPr>
                <w:rFonts w:ascii="Arial" w:cs="Arial" w:eastAsia="Arial" w:hAnsi="Arial"/>
                <w:color w:val="FFFFFF"/>
                <w:sz w:val="21"/>
                <w:szCs w:val="21"/>
              </w:rPr>
              <w:t xml:space="preserve">Source : Typologies documentées, Cour des Comptes CI, rapports 2018–2022.</w:t>
            </w:r>
          </w:p>
          <w:p>
            <w:pPr>
              <w:spacing w:after="0" w:before="80"/>
            </w:pPr>
          </w:p>
          <w:p>
            <w:pPr>
              <w:spacing w:after="0" w:before="40"/>
            </w:pPr>
            <w:r>
              <w:rPr>
                <w:rFonts w:ascii="Arial" w:cs="Arial" w:eastAsia="Arial" w:hAnsi="Arial"/>
                <w:color w:val="FFFFFF"/>
                <w:sz w:val="20"/>
                <w:szCs w:val="20"/>
              </w:rPr>
              <w:t xml:space="preserve">💡 Sans BudgetOuvert : dépense invisible pour les citoyens, détectée seulement en cas d'audit (&lt; 35 % des communes). Avec BudgetOuvert : visible publiquement dès enregistrement, avec possibilité de signalement citoyen immédiat.</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6B" w:sz="1"/>
              <w:left w:val="single" w:color="1B2A6B" w:sz="1"/>
              <w:bottom w:val="single" w:color="1B2A6B" w:sz="1"/>
              <w:right w:val="single" w:color="1B2A6B" w:sz="1"/>
            </w:tcBorders>
            <w:shd w:fill="1B2A6B" w:val="clear"/>
            <w:tcMar>
              <w:top w:type="dxa" w:w="160"/>
              <w:left w:type="dxa" w:w="200"/>
              <w:bottom w:type="dxa" w:w="160"/>
              <w:right w:type="dxa" w:w="200"/>
            </w:tcMar>
          </w:tcPr>
          <w:p>
            <w:pPr>
              <w:spacing w:after="80" w:before="0"/>
            </w:pPr>
            <w:r>
              <w:rPr>
                <w:rFonts w:ascii="Arial" w:cs="Arial" w:eastAsia="Arial" w:hAnsi="Arial"/>
                <w:b/>
                <w:bCs/>
                <w:color w:val="FFFFFF"/>
                <w:sz w:val="22"/>
                <w:szCs w:val="22"/>
              </w:rPr>
              <w:t xml:space="preserve">EXEMPLE TYPE 2 — Marché fictif ou surfacturé (~19 % des anomalies)</w:t>
            </w:r>
          </w:p>
          <w:p>
            <w:pPr>
              <w:spacing w:after="40" w:before="40"/>
            </w:pPr>
            <w:r>
              <w:rPr>
                <w:rFonts w:ascii="Arial" w:cs="Arial" w:eastAsia="Arial" w:hAnsi="Arial"/>
                <w:color w:val="FFFFFF"/>
                <w:sz w:val="21"/>
                <w:szCs w:val="21"/>
              </w:rPr>
              <w:t xml:space="preserve">Une prestation de 'nettoyage des caniveaux' est facturée 35 millions FCFA pour un quartier donné.</w:t>
            </w:r>
          </w:p>
          <w:p>
            <w:pPr>
              <w:spacing w:after="40" w:before="40"/>
            </w:pPr>
            <w:r>
              <w:rPr>
                <w:rFonts w:ascii="Arial" w:cs="Arial" w:eastAsia="Arial" w:hAnsi="Arial"/>
                <w:color w:val="FFFFFF"/>
                <w:sz w:val="21"/>
                <w:szCs w:val="21"/>
              </w:rPr>
              <w:t xml:space="preserve">Aucun habitant ne constate de travaux visibles.</w:t>
            </w:r>
          </w:p>
          <w:p>
            <w:pPr>
              <w:spacing w:after="40" w:before="40"/>
            </w:pPr>
            <w:r>
              <w:rPr>
                <w:rFonts w:ascii="Arial" w:cs="Arial" w:eastAsia="Arial" w:hAnsi="Arial"/>
                <w:color w:val="FFFFFF"/>
                <w:sz w:val="21"/>
                <w:szCs w:val="21"/>
              </w:rPr>
              <w:t xml:space="preserve">Le contrat a été attribué sans appel d'offres, en violation du Code des marchés publics.</w:t>
            </w:r>
          </w:p>
          <w:p>
            <w:pPr>
              <w:spacing w:after="40" w:before="40"/>
            </w:pPr>
            <w:r>
              <w:rPr>
                <w:rFonts w:ascii="Arial" w:cs="Arial" w:eastAsia="Arial" w:hAnsi="Arial"/>
                <w:color w:val="FFFFFF"/>
                <w:sz w:val="21"/>
                <w:szCs w:val="21"/>
              </w:rPr>
              <w:t xml:space="preserve"/>
            </w:r>
          </w:p>
          <w:p>
            <w:pPr>
              <w:spacing w:after="40" w:before="40"/>
            </w:pPr>
            <w:r>
              <w:rPr>
                <w:rFonts w:ascii="Arial" w:cs="Arial" w:eastAsia="Arial" w:hAnsi="Arial"/>
                <w:color w:val="FFFFFF"/>
                <w:sz w:val="21"/>
                <w:szCs w:val="21"/>
              </w:rPr>
              <w:t xml:space="preserve">Source : Typologies documentées, Cour des Comptes CI, rapports 2016–2022.</w:t>
            </w:r>
          </w:p>
          <w:p>
            <w:pPr>
              <w:spacing w:after="0" w:before="80"/>
            </w:pPr>
          </w:p>
          <w:p>
            <w:pPr>
              <w:spacing w:after="0" w:before="40"/>
            </w:pPr>
            <w:r>
              <w:rPr>
                <w:rFonts w:ascii="Arial" w:cs="Arial" w:eastAsia="Arial" w:hAnsi="Arial"/>
                <w:color w:val="FFFFFF"/>
                <w:sz w:val="20"/>
                <w:szCs w:val="20"/>
              </w:rPr>
              <w:t xml:space="preserve">💡 Sans BudgetOuvert : aucun mécanisme ne permet à un résident de signaler l'absence de prestation. Avec BudgetOuvert : la transaction est enregistrée avec son hash blockchain. Les résidents signalent l'incohérence via l'application mobile.</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6B" w:sz="1"/>
              <w:left w:val="single" w:color="1B2A6B" w:sz="1"/>
              <w:bottom w:val="single" w:color="1B2A6B" w:sz="1"/>
              <w:right w:val="single" w:color="1B2A6B" w:sz="1"/>
            </w:tcBorders>
            <w:shd w:fill="1B2A6B" w:val="clear"/>
            <w:tcMar>
              <w:top w:type="dxa" w:w="160"/>
              <w:left w:type="dxa" w:w="200"/>
              <w:bottom w:type="dxa" w:w="160"/>
              <w:right w:type="dxa" w:w="200"/>
            </w:tcMar>
          </w:tcPr>
          <w:p>
            <w:pPr>
              <w:spacing w:after="80" w:before="0"/>
            </w:pPr>
            <w:r>
              <w:rPr>
                <w:rFonts w:ascii="Arial" w:cs="Arial" w:eastAsia="Arial" w:hAnsi="Arial"/>
                <w:b/>
                <w:bCs/>
                <w:color w:val="FFFFFF"/>
                <w:sz w:val="22"/>
                <w:szCs w:val="22"/>
              </w:rPr>
              <w:t xml:space="preserve">EXEMPLE TYPE 3 — Double facturation (~15 % des anomalies)</w:t>
            </w:r>
          </w:p>
          <w:p>
            <w:pPr>
              <w:spacing w:after="40" w:before="40"/>
            </w:pPr>
            <w:r>
              <w:rPr>
                <w:rFonts w:ascii="Arial" w:cs="Arial" w:eastAsia="Arial" w:hAnsi="Arial"/>
                <w:color w:val="FFFFFF"/>
                <w:sz w:val="21"/>
                <w:szCs w:val="21"/>
              </w:rPr>
              <w:t xml:space="preserve">Le même fournisseur facture deux fois la même livraison de matériel scolaire :</w:t>
            </w:r>
          </w:p>
          <w:p>
            <w:pPr>
              <w:spacing w:after="40" w:before="40"/>
            </w:pPr>
            <w:r>
              <w:rPr>
                <w:rFonts w:ascii="Arial" w:cs="Arial" w:eastAsia="Arial" w:hAnsi="Arial"/>
                <w:color w:val="FFFFFF"/>
                <w:sz w:val="21"/>
                <w:szCs w:val="21"/>
              </w:rPr>
              <w:t xml:space="preserve">12 millions FCFA × 2 — chaque facture approuvée par des agents différents,</w:t>
            </w:r>
          </w:p>
          <w:p>
            <w:pPr>
              <w:spacing w:after="40" w:before="40"/>
            </w:pPr>
            <w:r>
              <w:rPr>
                <w:rFonts w:ascii="Arial" w:cs="Arial" w:eastAsia="Arial" w:hAnsi="Arial"/>
                <w:color w:val="FFFFFF"/>
                <w:sz w:val="21"/>
                <w:szCs w:val="21"/>
              </w:rPr>
              <w:t xml:space="preserve">sans accès à un registre centralisé permettant de détecter la duplication.</w:t>
            </w:r>
          </w:p>
          <w:p>
            <w:pPr>
              <w:spacing w:after="40" w:before="40"/>
            </w:pPr>
            <w:r>
              <w:rPr>
                <w:rFonts w:ascii="Arial" w:cs="Arial" w:eastAsia="Arial" w:hAnsi="Arial"/>
                <w:color w:val="FFFFFF"/>
                <w:sz w:val="21"/>
                <w:szCs w:val="21"/>
              </w:rPr>
              <w:t xml:space="preserve"/>
            </w:r>
          </w:p>
          <w:p>
            <w:pPr>
              <w:spacing w:after="40" w:before="40"/>
            </w:pPr>
            <w:r>
              <w:rPr>
                <w:rFonts w:ascii="Arial" w:cs="Arial" w:eastAsia="Arial" w:hAnsi="Arial"/>
                <w:color w:val="FFFFFF"/>
                <w:sz w:val="21"/>
                <w:szCs w:val="21"/>
              </w:rPr>
              <w:t xml:space="preserve">Source : Typologies documentées, Cour des Comptes CI, rapports 2018–2022.</w:t>
            </w:r>
          </w:p>
          <w:p>
            <w:pPr>
              <w:spacing w:after="0" w:before="80"/>
            </w:pPr>
          </w:p>
          <w:p>
            <w:pPr>
              <w:spacing w:after="0" w:before="40"/>
            </w:pPr>
            <w:r>
              <w:rPr>
                <w:rFonts w:ascii="Arial" w:cs="Arial" w:eastAsia="Arial" w:hAnsi="Arial"/>
                <w:color w:val="FFFFFF"/>
                <w:sz w:val="20"/>
                <w:szCs w:val="20"/>
              </w:rPr>
              <w:t xml:space="preserve">💡 Sans BudgetOuvert : la duplication n'est détectée qu'en cas d'audit. Avec BudgetOuvert : chaque transaction est horodatée et liée à une référence de document. La détection de doublons est automatique.</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6B" w:sz="1"/>
              <w:left w:val="single" w:color="1B2A6B" w:sz="1"/>
              <w:bottom w:val="single" w:color="1B2A6B" w:sz="1"/>
              <w:right w:val="single" w:color="1B2A6B" w:sz="1"/>
            </w:tcBorders>
            <w:shd w:fill="1B2A6B" w:val="clear"/>
            <w:tcMar>
              <w:top w:type="dxa" w:w="160"/>
              <w:left w:type="dxa" w:w="200"/>
              <w:bottom w:type="dxa" w:w="160"/>
              <w:right w:type="dxa" w:w="200"/>
            </w:tcMar>
          </w:tcPr>
          <w:p>
            <w:pPr>
              <w:spacing w:after="80" w:before="0"/>
            </w:pPr>
            <w:r>
              <w:rPr>
                <w:rFonts w:ascii="Arial" w:cs="Arial" w:eastAsia="Arial" w:hAnsi="Arial"/>
                <w:b/>
                <w:bCs/>
                <w:color w:val="FFFFFF"/>
                <w:sz w:val="22"/>
                <w:szCs w:val="22"/>
              </w:rPr>
              <w:t xml:space="preserve">EXEMPLE TYPE 4 — Absence de reddition de comptes (Bouaké, documenté)</w:t>
            </w:r>
          </w:p>
          <w:p>
            <w:pPr>
              <w:spacing w:after="40" w:before="40"/>
            </w:pPr>
            <w:r>
              <w:rPr>
                <w:rFonts w:ascii="Arial" w:cs="Arial" w:eastAsia="Arial" w:hAnsi="Arial"/>
                <w:color w:val="FFFFFF"/>
                <w:sz w:val="21"/>
                <w:szCs w:val="21"/>
              </w:rPr>
              <w:t xml:space="preserve">La commune de Bouaké a bénéficié en 2015 d'un projet de budget participatif financé par l'UE.</w:t>
            </w:r>
          </w:p>
          <w:p>
            <w:pPr>
              <w:spacing w:after="40" w:before="40"/>
            </w:pPr>
            <w:r>
              <w:rPr>
                <w:rFonts w:ascii="Arial" w:cs="Arial" w:eastAsia="Arial" w:hAnsi="Arial"/>
                <w:color w:val="FFFFFF"/>
                <w:sz w:val="21"/>
                <w:szCs w:val="21"/>
              </w:rPr>
              <w:t xml:space="preserve">Les populations ont été consultées et des projets ont été retenus.</w:t>
            </w:r>
          </w:p>
          <w:p>
            <w:pPr>
              <w:spacing w:after="40" w:before="40"/>
            </w:pPr>
            <w:r>
              <w:rPr>
                <w:rFonts w:ascii="Arial" w:cs="Arial" w:eastAsia="Arial" w:hAnsi="Arial"/>
                <w:color w:val="FFFFFF"/>
                <w:sz w:val="21"/>
                <w:szCs w:val="21"/>
              </w:rPr>
              <w:t xml:space="preserve">Aucun de ces projets n'a été réalisé.</w:t>
            </w:r>
          </w:p>
          <w:p>
            <w:pPr>
              <w:spacing w:after="40" w:before="40"/>
            </w:pPr>
            <w:r>
              <w:rPr>
                <w:rFonts w:ascii="Arial" w:cs="Arial" w:eastAsia="Arial" w:hAnsi="Arial"/>
                <w:color w:val="FFFFFF"/>
                <w:sz w:val="21"/>
                <w:szCs w:val="21"/>
              </w:rPr>
              <w:t xml:space="preserve">Les autorités municipales n'ont fourni aucun compte rendu sur l'utilisation des fonds.</w:t>
            </w:r>
          </w:p>
          <w:p>
            <w:pPr>
              <w:spacing w:after="40" w:before="40"/>
            </w:pPr>
            <w:r>
              <w:rPr>
                <w:rFonts w:ascii="Arial" w:cs="Arial" w:eastAsia="Arial" w:hAnsi="Arial"/>
                <w:color w:val="FFFFFF"/>
                <w:sz w:val="21"/>
                <w:szCs w:val="21"/>
              </w:rPr>
              <w:t xml:space="preserve"/>
            </w:r>
          </w:p>
          <w:p>
            <w:pPr>
              <w:spacing w:after="40" w:before="40"/>
            </w:pPr>
            <w:r>
              <w:rPr>
                <w:rFonts w:ascii="Arial" w:cs="Arial" w:eastAsia="Arial" w:hAnsi="Arial"/>
                <w:color w:val="FFFFFF"/>
                <w:sz w:val="21"/>
                <w:szCs w:val="21"/>
              </w:rPr>
              <w:t xml:space="preserve">Source : IAR Journal of Humanities and Social Science, Vol. 2, n°6, 2021.</w:t>
            </w:r>
          </w:p>
          <w:p>
            <w:pPr>
              <w:spacing w:after="0" w:before="80"/>
            </w:pPr>
          </w:p>
          <w:p>
            <w:pPr>
              <w:spacing w:after="0" w:before="40"/>
            </w:pPr>
            <w:r>
              <w:rPr>
                <w:rFonts w:ascii="Arial" w:cs="Arial" w:eastAsia="Arial" w:hAnsi="Arial"/>
                <w:color w:val="FFFFFF"/>
                <w:sz w:val="20"/>
                <w:szCs w:val="20"/>
              </w:rPr>
              <w:t xml:space="preserve">💡 Ce cas illustre comment l'absence de transparence permet des détournements sans contrôle citoyen. Avec BudgetOuvert, chaque engagement de dépense aurait été visible et traçable dès sa création.</w:t>
            </w:r>
          </w:p>
        </w:tc>
      </w:tr>
    </w:tbl>
    <w:p>
      <w:pPr>
        <w:spacing w:after="200" w:before="0"/>
      </w:pPr>
    </w:p>
    <w:p>
      <w:pPr>
        <w:spacing w:after="120" w:before="60"/>
      </w:pPr>
      <w:r>
        <w:rPr>
          <w:rStyle w:val="FootnoteReference"/>
        </w:rPr>
        <w:footnoteReference w:id="5"/>
      </w:r>
      <w:r>
        <w:rPr>
          <w:rFonts w:ascii="Arial" w:cs="Arial" w:eastAsia="Arial" w:hAnsi="Arial"/>
          <w:sz w:val="21"/>
          <w:szCs w:val="21"/>
        </w:rPr>
        <w:t xml:space="preserve"> IAR Journal of Humanities and Social Science (2021). Commune de Bouaké : absence de reddition de comptes sur les financements participatifs. Vol. 2, n°6. DOI : doi.org/10.47310/iarjhss</w:t>
      </w:r>
    </w:p>
    <w:p>
      <w:pPr>
        <w:pStyle w:val="Heading2"/>
        <w:spacing w:after="160" w:before="280"/>
      </w:pPr>
      <w:r>
        <w:rPr>
          <w:rFonts w:ascii="Arial" w:cs="Arial" w:eastAsia="Arial" w:hAnsi="Arial"/>
          <w:b/>
          <w:bCs/>
          <w:color w:val="1B2A6B"/>
          <w:sz w:val="24"/>
          <w:szCs w:val="24"/>
        </w:rPr>
        <w:t xml:space="preserve">3.4 La réaction de la Cour des Comptes : limites institutionnelles</w:t>
      </w:r>
    </w:p>
    <w:p>
      <w:pPr>
        <w:spacing w:after="120" w:before="80"/>
        <w:jc w:val="both"/>
      </w:pPr>
      <w:r>
        <w:rPr>
          <w:rFonts w:ascii="Arial" w:cs="Arial" w:eastAsia="Arial" w:hAnsi="Arial"/>
          <w:sz w:val="22"/>
          <w:szCs w:val="22"/>
        </w:rPr>
        <w:t xml:space="preserve">Face à ces constats récurrents, la Cour des Comptes a exercé ses prérogatives légales : saisine du ministère public, envoi de référés aux gestionnaires concernés, demandes de sanctions disciplinaires. En octobre 2024, consciente de ses propres limites opérationnelles, elle a organisé à Yamoussoukro un séminaire intitulé 'L'élu local et la bonne gestion des finances publiques'. En décembre 2024, un second séminaire portait sur 'Le Gouverneur de district et la bonne gestion des finances publiques'.</w:t>
      </w:r>
    </w:p>
    <w:p>
      <w:pPr>
        <w:spacing w:after="120" w:before="80"/>
        <w:jc w:val="both"/>
      </w:pPr>
      <w:r>
        <w:rPr>
          <w:rFonts w:ascii="Arial" w:cs="Arial" w:eastAsia="Arial" w:hAnsi="Arial"/>
          <w:sz w:val="22"/>
          <w:szCs w:val="22"/>
        </w:rPr>
        <w:t xml:space="preserve">Ces initiatives confirment que les problèmes de gouvernance locale sont reconnus au plus haut niveau institutionnel — mais aussi que les solutions purement administratives sont insuffisantes. BudgetOuvert complète ces efforts institutionnels par une solution technologique qui rend le contrôle citoyen structurellement possible.</w:t>
      </w:r>
    </w:p>
    <w:p>
      <w:r>
        <w:br w:type="page"/>
      </w:r>
    </w:p>
    <w:p>
      <w:pPr>
        <w:pStyle w:val="Heading1"/>
        <w:spacing w:after="200" w:before="360"/>
      </w:pPr>
      <w:r>
        <w:rPr>
          <w:rFonts w:ascii="Arial" w:cs="Arial" w:eastAsia="Arial" w:hAnsi="Arial"/>
          <w:b/>
          <w:bCs/>
          <w:color w:val="1B2A6B"/>
          <w:sz w:val="28"/>
          <w:szCs w:val="28"/>
        </w:rPr>
        <w:t xml:space="preserve">CHAPITRE 4 — L'OPACITÉ AU NIVEAU COMMUNAL : CAUSES ET MÉCANISMES</w:t>
      </w:r>
    </w:p>
    <w:p>
      <w:pPr>
        <w:pBdr>
          <w:bottom w:val="single" w:color="1B2A6B" w:sz="8" w:space="1"/>
        </w:pBdr>
        <w:spacing w:after="160" w:before="0"/>
      </w:pPr>
    </w:p>
    <w:p>
      <w:pPr>
        <w:pStyle w:val="Heading2"/>
        <w:spacing w:after="160" w:before="280"/>
      </w:pPr>
      <w:r>
        <w:rPr>
          <w:rFonts w:ascii="Arial" w:cs="Arial" w:eastAsia="Arial" w:hAnsi="Arial"/>
          <w:b/>
          <w:bCs/>
          <w:color w:val="1B2A6B"/>
          <w:sz w:val="24"/>
          <w:szCs w:val="24"/>
        </w:rPr>
        <w:t xml:space="preserve">4.1 Le refus de publier les comptes : une pratique systémique</w:t>
      </w:r>
    </w:p>
    <w:p>
      <w:pPr>
        <w:spacing w:after="120" w:before="80"/>
        <w:jc w:val="both"/>
      </w:pPr>
      <w:r>
        <w:rPr>
          <w:rFonts w:ascii="Arial" w:cs="Arial" w:eastAsia="Arial" w:hAnsi="Arial"/>
          <w:sz w:val="22"/>
          <w:szCs w:val="22"/>
        </w:rPr>
        <w:t xml:space="preserve">Moins de 10 % des communes ivoiriennes publient leurs comptes de façon accessible au public. (Source : IBP, Cour des Comptes CI.) Ce chiffre saisissant ne s'explique pas uniquement par un manque de moyens techniques — il reflète en partie un comportement délibéré de rétention de l'information.</w:t>
      </w:r>
    </w:p>
    <w:p>
      <w:pPr>
        <w:spacing w:after="120" w:before="80"/>
        <w:jc w:val="both"/>
      </w:pPr>
      <w:r>
        <w:rPr>
          <w:rFonts w:ascii="Arial" w:cs="Arial" w:eastAsia="Arial" w:hAnsi="Arial"/>
          <w:sz w:val="22"/>
          <w:szCs w:val="22"/>
        </w:rPr>
        <w:t xml:space="preserve">Une étude académique portant sur les communes d'Alépe, Bouaké et Guiglo </w:t>
      </w:r>
      <w:r>
        <w:rPr>
          <w:rStyle w:val="FootnoteReference"/>
        </w:rPr>
        <w:footnoteReference w:id="5"/>
      </w:r>
      <w:r>
        <w:rPr>
          <w:rFonts w:ascii="Arial" w:cs="Arial" w:eastAsia="Arial" w:hAnsi="Arial"/>
          <w:sz w:val="22"/>
          <w:szCs w:val="22"/>
        </w:rPr>
        <w:t xml:space="preserve"> conclut explicitement que les autorités municipales 'refusent d'associer les populations à la gestion de leur commune afin de pouvoir opérer des détournements des fonds publics à l'échelle locale'. Les chercheurs observent que dans ces communes, les projets ayant bénéficié de financements participatifs n'ont jamais été réalisés, sans qu'aucune explication ne soit fournie aux citoyens.</w:t>
      </w:r>
    </w:p>
    <w:p>
      <w:pPr>
        <w:pStyle w:val="Heading2"/>
        <w:spacing w:after="160" w:before="280"/>
      </w:pPr>
      <w:r>
        <w:rPr>
          <w:rFonts w:ascii="Arial" w:cs="Arial" w:eastAsia="Arial" w:hAnsi="Arial"/>
          <w:b/>
          <w:bCs/>
          <w:color w:val="1B2A6B"/>
          <w:sz w:val="24"/>
          <w:szCs w:val="24"/>
        </w:rPr>
        <w:t xml:space="preserve">4.2 Les obstacles structurels à la transparence communale</w:t>
      </w:r>
    </w:p>
    <w:p>
      <w:pPr>
        <w:spacing w:after="80" w:before="0"/>
      </w:pP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800"/>
        <w:gridCol w:w="6526"/>
      </w:tblGrid>
      <w:tr>
        <w:trPr>
          <w:tblHeader/>
        </w:trPr>
        <w:tc>
          <w:tcPr>
            <w:tcW w:type="dxa" w:w="2800"/>
            <w:tcBorders>
              <w:top w:val="single" w:color="CCCCCC" w:sz="1"/>
              <w:left w:val="single" w:color="CCCCCC" w:sz="1"/>
              <w:bottom w:val="single" w:color="CCCCCC" w:sz="1"/>
              <w:right w:val="single" w:color="CCCCCC" w:sz="1"/>
            </w:tcBorders>
            <w:shd w:fill="1B2A6B" w:val="clear"/>
            <w:tcMar>
              <w:top w:type="dxa" w:w="100"/>
              <w:left w:type="dxa" w:w="120"/>
              <w:bottom w:type="dxa" w:w="100"/>
              <w:right w:type="dxa" w:w="120"/>
            </w:tcMar>
          </w:tcPr>
          <w:p>
            <w:r>
              <w:rPr>
                <w:rFonts w:ascii="Arial" w:cs="Arial" w:eastAsia="Arial" w:hAnsi="Arial"/>
                <w:b/>
                <w:bCs/>
                <w:color w:val="FFFFFF"/>
                <w:sz w:val="20"/>
                <w:szCs w:val="20"/>
              </w:rPr>
              <w:t xml:space="preserve">Obstacle</w:t>
            </w:r>
          </w:p>
        </w:tc>
        <w:tc>
          <w:tcPr>
            <w:tcW w:type="dxa" w:w="6526"/>
            <w:tcBorders>
              <w:top w:val="single" w:color="CCCCCC" w:sz="1"/>
              <w:left w:val="single" w:color="CCCCCC" w:sz="1"/>
              <w:bottom w:val="single" w:color="CCCCCC" w:sz="1"/>
              <w:right w:val="single" w:color="CCCCCC" w:sz="1"/>
            </w:tcBorders>
            <w:shd w:fill="1B2A6B"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Centralisation des ressources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Malgré la décentralisation légale, les budgets restent largement contrôlés par les ministères techniques à Abidjan. Les communes dépendent de transferts étatiques irréguliers et imprévisibles.</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sz w:val="20"/>
                <w:szCs w:val="20"/>
              </w:rPr>
              <w:t xml:space="preserve">Faible capacité technique</w:t>
            </w:r>
          </w:p>
        </w:tc>
        <w:tc>
          <w:tcPr>
            <w:tcW w:type="dxa" w:w="65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sz w:val="20"/>
                <w:szCs w:val="20"/>
              </w:rPr>
              <w:t xml:space="preserve">Nombreuses communes sans personnel qualifié pour tenir une comptabilité conforme aux normes UEMOA et produire des états financiers publiables.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Absence d'obligation de publication</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La loi oblige les communes à rendre leurs comptes à la Cour des Comptes, mais n'impose pas la publication proactive aux citoyens dans un format accessible et compréhensible.</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sz w:val="20"/>
                <w:szCs w:val="20"/>
              </w:rPr>
              <w:t xml:space="preserve">Déficit de demande citoyenne</w:t>
            </w:r>
          </w:p>
        </w:tc>
        <w:tc>
          <w:tcPr>
            <w:tcW w:type="dxa" w:w="65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sz w:val="20"/>
                <w:szCs w:val="20"/>
              </w:rPr>
              <w:t xml:space="preserve">Moins de 3 % des citoyens accèdent à une information sur leur budget communal. Faible pression citoyenne organisée pour exiger la transparence.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Faible couverture des audits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La Cour des Comptes ne peut auditer qu'un nombre limité de communes par an, compte tenu de ses contraintes propres de ressources humaines et financières.</w:t>
            </w:r>
          </w:p>
        </w:tc>
      </w:tr>
    </w:tbl>
    <w:p>
      <w:pPr>
        <w:spacing w:after="200" w:before="0"/>
      </w:pPr>
    </w:p>
    <w:p>
      <w:pPr>
        <w:pStyle w:val="Heading2"/>
        <w:spacing w:after="160" w:before="280"/>
      </w:pPr>
      <w:r>
        <w:rPr>
          <w:rFonts w:ascii="Arial" w:cs="Arial" w:eastAsia="Arial" w:hAnsi="Arial"/>
          <w:b/>
          <w:bCs/>
          <w:color w:val="1B2A6B"/>
          <w:sz w:val="24"/>
          <w:szCs w:val="24"/>
        </w:rPr>
        <w:t xml:space="preserve">4.3 La problématique du SIGESCOD et des outils de gestion existants</w:t>
      </w:r>
    </w:p>
    <w:p>
      <w:pPr>
        <w:spacing w:after="120" w:before="80"/>
        <w:jc w:val="both"/>
      </w:pPr>
      <w:r>
        <w:rPr>
          <w:rFonts w:ascii="Arial" w:cs="Arial" w:eastAsia="Arial" w:hAnsi="Arial"/>
          <w:sz w:val="22"/>
          <w:szCs w:val="22"/>
        </w:rPr>
        <w:t xml:space="preserve">Le Système de Gestion des Collectivités Décentralisées (SIGESCOD) a été déployé pour informatiser la gestion budgétaire des communes. Un atelier de déploiement s'est tenu à Grand-Bassam en janvier 2021. Cependant, l'adoption de cet outil reste inégale et sa couverture demeure partielle. Surtout, le SIGESCOD est un outil interne à l'administration — il ne rend pas les données publiquement accessibles aux citoyens.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681E" w:val="clear"/>
            <w:tcMar>
              <w:top w:type="dxa" w:w="120"/>
              <w:left w:type="dxa" w:w="160"/>
              <w:bottom w:type="dxa" w:w="120"/>
              <w:right w:type="dxa" w:w="160"/>
            </w:tcMar>
          </w:tcPr>
          <w:p>
            <w:r>
              <w:rPr>
                <w:rFonts w:ascii="Arial" w:cs="Arial" w:eastAsia="Arial" w:hAnsi="Arial"/>
                <w:b/>
                <w:bCs/>
                <w:color w:val="FFFFFF"/>
                <w:sz w:val="22"/>
                <w:szCs w:val="22"/>
              </w:rPr>
              <w:t xml:space="preserve">Le vide que BudgetOuvert comble</w:t>
            </w:r>
          </w:p>
        </w:tc>
      </w:tr>
      <w:tr>
        <w:tc>
          <w:tcPr>
            <w:tcW w:type="dxa" w:w="9360"/>
            <w:tcBorders>
              <w:top w:val="none" w:color="FFFFFF" w:sz="0"/>
              <w:left w:val="none" w:color="FFFFFF" w:sz="0"/>
              <w:bottom w:val="none" w:color="FFFFFF" w:sz="0"/>
              <w:right w:val="none" w:color="FFFFFF" w:sz="0"/>
            </w:tcBorders>
            <w:shd w:fill="FDF0E6" w:val="clear"/>
            <w:tcMar>
              <w:top w:type="dxa" w:w="120"/>
              <w:left w:type="dxa" w:w="160"/>
              <w:bottom w:type="dxa" w:w="120"/>
              <w:right w:type="dxa" w:w="160"/>
            </w:tcMar>
          </w:tcPr>
          <w:p>
            <w:pPr>
              <w:spacing w:after="60" w:before="60"/>
              <w:jc w:val="both"/>
            </w:pPr>
            <w:r>
              <w:rPr>
                <w:rFonts w:ascii="Arial" w:cs="Arial" w:eastAsia="Arial" w:hAnsi="Arial"/>
                <w:sz w:val="22"/>
                <w:szCs w:val="22"/>
              </w:rPr>
              <w:t xml:space="preserve">BudgetOuvert ne remplace pas les outils de gestion existants comme le SIGESCOD — il ajoute une couche de publication publique, immuable et vérifiable par tous, au-dessus de ces outils. La commune continue d'utiliser ses outils internes ; BudgetOuvert diffuse automatiquement les données au grand public via la blockchain.</w:t>
            </w:r>
          </w:p>
        </w:tc>
      </w:tr>
    </w:tbl>
    <w:p>
      <w:r>
        <w:br w:type="page"/>
      </w:r>
    </w:p>
    <w:p>
      <w:pPr>
        <w:pStyle w:val="Heading1"/>
        <w:spacing w:after="200" w:before="360"/>
      </w:pPr>
      <w:r>
        <w:rPr>
          <w:rFonts w:ascii="Arial" w:cs="Arial" w:eastAsia="Arial" w:hAnsi="Arial"/>
          <w:b/>
          <w:bCs/>
          <w:color w:val="1B2A6B"/>
          <w:sz w:val="28"/>
          <w:szCs w:val="28"/>
        </w:rPr>
        <w:t xml:space="preserve">CHAPITRE 5 — L'IMPACT DE L'OPACITÉ SUR LE DÉVELOPPEMENT LOCAL</w:t>
      </w:r>
    </w:p>
    <w:p>
      <w:pPr>
        <w:pBdr>
          <w:bottom w:val="single" w:color="1B2A6B" w:sz="8" w:space="1"/>
        </w:pBdr>
        <w:spacing w:after="160" w:before="0"/>
      </w:pPr>
    </w:p>
    <w:p>
      <w:pPr>
        <w:pStyle w:val="Heading2"/>
        <w:spacing w:after="160" w:before="280"/>
      </w:pPr>
      <w:r>
        <w:rPr>
          <w:rFonts w:ascii="Arial" w:cs="Arial" w:eastAsia="Arial" w:hAnsi="Arial"/>
          <w:b/>
          <w:bCs/>
          <w:color w:val="1B2A6B"/>
          <w:sz w:val="24"/>
          <w:szCs w:val="24"/>
        </w:rPr>
        <w:t xml:space="preserve">5.1 Un frein aux financements internationaux</w:t>
      </w:r>
    </w:p>
    <w:p>
      <w:pPr>
        <w:spacing w:after="120" w:before="80"/>
        <w:jc w:val="both"/>
      </w:pPr>
      <w:r>
        <w:rPr>
          <w:rFonts w:ascii="Arial" w:cs="Arial" w:eastAsia="Arial" w:hAnsi="Arial"/>
          <w:sz w:val="22"/>
          <w:szCs w:val="22"/>
        </w:rPr>
        <w:t xml:space="preserve">Les bailleurs internationaux — Banque Mondiale, Agence Française de Développement (AFD), Union Européenne, Banque Ouest-Africaine de Développement (BOAD) — conditionnent de plus en plus leurs financements à des preuves de bonne gouvernance et de transparence budgétaire. Selon les données du MIABE Hackathon 2026, les communes transparentes obtiennent en moyenne trois fois plus de financements de développement que les communes opaques.</w:t>
      </w:r>
    </w:p>
    <w:p>
      <w:pPr>
        <w:spacing w:after="120" w:before="80"/>
        <w:jc w:val="both"/>
      </w:pPr>
      <w:r>
        <w:rPr>
          <w:rFonts w:ascii="Arial" w:cs="Arial" w:eastAsia="Arial" w:hAnsi="Arial"/>
          <w:sz w:val="22"/>
          <w:szCs w:val="22"/>
        </w:rPr>
        <w:t xml:space="preserve">En 2024, l'AFD a soutenu la Côte d'Ivoire dans le lancement d'une évaluation nationale PEFA (Public Expenditure and Financial Accountability), </w:t>
      </w:r>
      <w:r>
        <w:rPr>
          <w:rStyle w:val="FootnoteReference"/>
        </w:rPr>
        <w:footnoteReference w:id="10"/>
      </w:r>
      <w:r>
        <w:rPr>
          <w:rFonts w:ascii="Arial" w:cs="Arial" w:eastAsia="Arial" w:hAnsi="Arial"/>
          <w:sz w:val="22"/>
          <w:szCs w:val="22"/>
        </w:rPr>
        <w:t xml:space="preserve"> méthodologie internationale de diagnostic des systèmes de gestion des finances publiques. Cette initiative illustre l'intérêt croissant des bailleurs pour la transparence comme condition préalable à leurs décisions de financement.</w:t>
      </w:r>
    </w:p>
    <w:p>
      <w:pPr>
        <w:pStyle w:val="Heading2"/>
        <w:spacing w:after="160" w:before="280"/>
      </w:pPr>
      <w:r>
        <w:rPr>
          <w:rFonts w:ascii="Arial" w:cs="Arial" w:eastAsia="Arial" w:hAnsi="Arial"/>
          <w:b/>
          <w:bCs/>
          <w:color w:val="1B2A6B"/>
          <w:sz w:val="24"/>
          <w:szCs w:val="24"/>
        </w:rPr>
        <w:t xml:space="preserve">5.2 Un impact direct sur la qualité des services publics</w:t>
      </w:r>
    </w:p>
    <w:p>
      <w:pPr>
        <w:spacing w:after="120" w:before="80"/>
        <w:jc w:val="both"/>
      </w:pPr>
      <w:r>
        <w:rPr>
          <w:rFonts w:ascii="Arial" w:cs="Arial" w:eastAsia="Arial" w:hAnsi="Arial"/>
          <w:sz w:val="22"/>
          <w:szCs w:val="22"/>
        </w:rPr>
        <w:t xml:space="preserve">Chaque franc CFA détourné ou mal utilisé représente un service public non rendu : une route non réparée, une école non construite, un centre de santé sous-équipé. L'opacité budgétaire amplifie cet effet en empêchant les citoyens de détecter et de signaler les malversations avant qu'il ne soit trop tard. Le cycle est auto-renforçant : l'opacité facilite les irrégularités, qui réduisent les ressources disponibles pour les services, ce qui amplifie la défiance citoyenne envers les institutions.</w:t>
      </w:r>
    </w:p>
    <w:p>
      <w:pPr>
        <w:pStyle w:val="Heading2"/>
        <w:spacing w:after="160" w:before="280"/>
      </w:pPr>
      <w:r>
        <w:rPr>
          <w:rFonts w:ascii="Arial" w:cs="Arial" w:eastAsia="Arial" w:hAnsi="Arial"/>
          <w:b/>
          <w:bCs/>
          <w:color w:val="1B2A6B"/>
          <w:sz w:val="24"/>
          <w:szCs w:val="24"/>
        </w:rPr>
        <w:t xml:space="preserve">5.3 Une défiance citoyenne structurelle</w:t>
      </w:r>
    </w:p>
    <w:p>
      <w:pPr>
        <w:spacing w:after="120" w:before="80"/>
        <w:jc w:val="both"/>
      </w:pPr>
      <w:r>
        <w:rPr>
          <w:rFonts w:ascii="Arial" w:cs="Arial" w:eastAsia="Arial" w:hAnsi="Arial"/>
          <w:sz w:val="22"/>
          <w:szCs w:val="22"/>
        </w:rPr>
        <w:t xml:space="preserve">Le manque de transparence alimente une défiance profonde des citoyens envers leurs institutions locales. Des études et témoignages documentés montrent que dans les communes où les budgets ne sont pas publiés, les citoyens développent des perceptions d'irrégularités souvent plus négatives que la réalité — un phénomène bien documenté en économie comportementale. Inversement, lorsque les informations sont publiées de façon proactive, la confiance augmente significativement, même en l'absence de changements substantiels dans la 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6B" w:val="clear"/>
            <w:tcMar>
              <w:top w:type="dxa" w:w="120"/>
              <w:left w:type="dxa" w:w="160"/>
              <w:bottom w:type="dxa" w:w="120"/>
              <w:right w:type="dxa" w:w="160"/>
            </w:tcMar>
          </w:tcPr>
          <w:p>
            <w:r>
              <w:rPr>
                <w:rFonts w:ascii="Arial" w:cs="Arial" w:eastAsia="Arial" w:hAnsi="Arial"/>
                <w:b/>
                <w:bCs/>
                <w:color w:val="FFFFFF"/>
                <w:sz w:val="22"/>
                <w:szCs w:val="22"/>
              </w:rPr>
              <w:t xml:space="preserve">Impact de la transparence sur la confiance citoyenne</w:t>
            </w:r>
          </w:p>
        </w:tc>
      </w:tr>
      <w:tr>
        <w:tc>
          <w:tcPr>
            <w:tcW w:type="dxa" w:w="9360"/>
            <w:tcBorders>
              <w:top w:val="none" w:color="FFFFFF" w:sz="0"/>
              <w:left w:val="none" w:color="FFFFFF" w:sz="0"/>
              <w:bottom w:val="none" w:color="FFFFFF" w:sz="0"/>
              <w:right w:val="none" w:color="FFFFFF" w:sz="0"/>
            </w:tcBorders>
            <w:shd w:fill="E8EBF5" w:val="clear"/>
            <w:tcMar>
              <w:top w:type="dxa" w:w="120"/>
              <w:left w:type="dxa" w:w="160"/>
              <w:bottom w:type="dxa" w:w="120"/>
              <w:right w:type="dxa" w:w="160"/>
            </w:tcMar>
          </w:tcPr>
          <w:p>
            <w:pPr>
              <w:spacing w:after="60" w:before="60"/>
              <w:jc w:val="both"/>
            </w:pPr>
            <w:r>
              <w:rPr>
                <w:rFonts w:ascii="Arial" w:cs="Arial" w:eastAsia="Arial" w:hAnsi="Arial"/>
                <w:sz w:val="22"/>
                <w:szCs w:val="22"/>
              </w:rPr>
              <w:t xml:space="preserve">Des expériences menées dans plusieurs villes africaines (Nairobi, Lagos, Dakar) ont montré que la simple publication des budgets locaux en ligne réduisait la perception de corruption de 20 à 35 %, même en l'absence de réformes complémentaires. La transparence est, en elle-même, un bien public. (Source : Banque Mondiale, Rapport sur la gouvernance locale en Afrique sub-saharienne, 2022.)</w:t>
            </w:r>
          </w:p>
        </w:tc>
      </w:tr>
    </w:tbl>
    <w:p>
      <w:r>
        <w:br w:type="page"/>
      </w:r>
    </w:p>
    <w:p>
      <w:pPr>
        <w:pStyle w:val="Heading1"/>
        <w:spacing w:after="200" w:before="360"/>
      </w:pPr>
      <w:r>
        <w:rPr>
          <w:rFonts w:ascii="Arial" w:cs="Arial" w:eastAsia="Arial" w:hAnsi="Arial"/>
          <w:b/>
          <w:bCs/>
          <w:color w:val="1B2A6B"/>
          <w:sz w:val="28"/>
          <w:szCs w:val="28"/>
        </w:rPr>
        <w:t xml:space="preserve">CHAPITRE 6 — CONTEXTE COMPARATIF RÉGIONAL ET INTERNATIONAL</w:t>
      </w:r>
    </w:p>
    <w:p>
      <w:pPr>
        <w:pBdr>
          <w:bottom w:val="single" w:color="1B2A6B" w:sz="8" w:space="1"/>
        </w:pBdr>
        <w:spacing w:after="160" w:before="0"/>
      </w:pPr>
    </w:p>
    <w:p>
      <w:pPr>
        <w:pStyle w:val="Heading2"/>
        <w:spacing w:after="160" w:before="280"/>
      </w:pPr>
      <w:r>
        <w:rPr>
          <w:rFonts w:ascii="Arial" w:cs="Arial" w:eastAsia="Arial" w:hAnsi="Arial"/>
          <w:b/>
          <w:bCs/>
          <w:color w:val="1B2A6B"/>
          <w:sz w:val="24"/>
          <w:szCs w:val="24"/>
        </w:rPr>
        <w:t xml:space="preserve">6.1 Comparaisons avec les pays africains voisins</w:t>
      </w:r>
    </w:p>
    <w:p>
      <w:pPr>
        <w:spacing w:after="100" w:before="0"/>
      </w:pP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26"/>
      </w:tblGrid>
      <w:tr>
        <w:trPr>
          <w:tblHeader/>
        </w:trPr>
        <w:tc>
          <w:tcPr>
            <w:tcW w:type="dxa" w:w="2000"/>
            <w:tcBorders>
              <w:top w:val="single" w:color="CCCCCC" w:sz="1"/>
              <w:left w:val="single" w:color="CCCCCC" w:sz="1"/>
              <w:bottom w:val="single" w:color="CCCCCC" w:sz="1"/>
              <w:right w:val="single" w:color="CCCCCC" w:sz="1"/>
            </w:tcBorders>
            <w:shd w:fill="1B2A6B" w:val="clear"/>
            <w:tcMar>
              <w:top w:type="dxa" w:w="100"/>
              <w:left w:type="dxa" w:w="120"/>
              <w:bottom w:type="dxa" w:w="100"/>
              <w:right w:type="dxa" w:w="120"/>
            </w:tcMar>
          </w:tcPr>
          <w:p>
            <w:r>
              <w:rPr>
                <w:rFonts w:ascii="Arial" w:cs="Arial" w:eastAsia="Arial" w:hAnsi="Arial"/>
                <w:b/>
                <w:bCs/>
                <w:color w:val="FFFFFF"/>
                <w:sz w:val="20"/>
                <w:szCs w:val="20"/>
              </w:rPr>
              <w:t xml:space="preserve">Pays</w:t>
            </w:r>
          </w:p>
        </w:tc>
        <w:tc>
          <w:tcPr>
            <w:tcW w:type="dxa" w:w="2000"/>
            <w:tcBorders>
              <w:top w:val="single" w:color="CCCCCC" w:sz="1"/>
              <w:left w:val="single" w:color="CCCCCC" w:sz="1"/>
              <w:bottom w:val="single" w:color="CCCCCC" w:sz="1"/>
              <w:right w:val="single" w:color="CCCCCC" w:sz="1"/>
            </w:tcBorders>
            <w:shd w:fill="1B2A6B" w:val="clear"/>
            <w:tcMar>
              <w:top w:type="dxa" w:w="100"/>
              <w:left w:type="dxa" w:w="120"/>
              <w:bottom w:type="dxa" w:w="100"/>
              <w:right w:type="dxa" w:w="120"/>
            </w:tcMar>
          </w:tcPr>
          <w:p>
            <w:r>
              <w:rPr>
                <w:rFonts w:ascii="Arial" w:cs="Arial" w:eastAsia="Arial" w:hAnsi="Arial"/>
                <w:b/>
                <w:bCs/>
                <w:color w:val="FFFFFF"/>
                <w:sz w:val="20"/>
                <w:szCs w:val="20"/>
              </w:rPr>
              <w:t xml:space="preserve">Score OBI 2023</w:t>
            </w:r>
          </w:p>
        </w:tc>
        <w:tc>
          <w:tcPr>
            <w:tcW w:type="dxa" w:w="5326"/>
            <w:tcBorders>
              <w:top w:val="single" w:color="CCCCCC" w:sz="1"/>
              <w:left w:val="single" w:color="CCCCCC" w:sz="1"/>
              <w:bottom w:val="single" w:color="CCCCCC" w:sz="1"/>
              <w:right w:val="single" w:color="CCCCCC" w:sz="1"/>
            </w:tcBorders>
            <w:shd w:fill="1B2A6B" w:val="clear"/>
            <w:tcMar>
              <w:top w:type="dxa" w:w="100"/>
              <w:left w:type="dxa" w:w="120"/>
              <w:bottom w:type="dxa" w:w="100"/>
              <w:right w:type="dxa" w:w="120"/>
            </w:tcMar>
          </w:tcPr>
          <w:p>
            <w:r>
              <w:rPr>
                <w:rFonts w:ascii="Arial" w:cs="Arial" w:eastAsia="Arial" w:hAnsi="Arial"/>
                <w:b/>
                <w:bCs/>
                <w:color w:val="FFFFFF"/>
                <w:sz w:val="20"/>
                <w:szCs w:val="20"/>
              </w:rPr>
              <w:t xml:space="preserve">Facteur clé de différenciation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Ghana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52/100</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Adoption d'une loi spécifique sur la transparence budgétaire locale (2016). Portail public de données budgétaires municipales.</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sz w:val="20"/>
                <w:szCs w:val="20"/>
              </w:rPr>
              <w:t xml:space="preserve">Kenya</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sz w:val="20"/>
                <w:szCs w:val="20"/>
              </w:rPr>
              <w:t xml:space="preserve">58/100</w:t>
            </w:r>
          </w:p>
        </w:tc>
        <w:tc>
          <w:tcPr>
            <w:tcW w:type="dxa" w:w="53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sz w:val="20"/>
                <w:szCs w:val="20"/>
              </w:rPr>
              <w:t xml:space="preserve">Portail de transparence communale déployé au niveau de chaque comté. Obligation légale de publication trimestrielle.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Rwanda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62/100</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Système d'information budgétaire local opérationnel, intégré aux outils de planification nationale. Audits citoyens institutionnalisés.</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sz w:val="20"/>
                <w:szCs w:val="20"/>
              </w:rPr>
              <w:t xml:space="preserve">Côte d'Ivoire</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sz w:val="20"/>
                <w:szCs w:val="20"/>
              </w:rPr>
              <w:t xml:space="preserve">54/100 (national) / ~10 % communal</w:t>
            </w:r>
          </w:p>
        </w:tc>
        <w:tc>
          <w:tcPr>
            <w:tcW w:type="dxa" w:w="53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sz w:val="20"/>
                <w:szCs w:val="20"/>
              </w:rPr>
              <w:t xml:space="preserve">Transparence centrale en progrès réels. Niveau communal quasi inexistant. Aucune donnée systématique disponible sur les communes.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Moyenne mondiale OBI 2023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45/100</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Référence internationale. Seuil de transparence 'suffisante' : 61/100.</w:t>
            </w:r>
          </w:p>
        </w:tc>
      </w:tr>
    </w:tbl>
    <w:p>
      <w:pPr>
        <w:spacing w:after="160" w:before="0"/>
      </w:pPr>
    </w:p>
    <w:p>
      <w:pPr>
        <w:spacing w:after="120" w:before="80"/>
        <w:jc w:val="both"/>
      </w:pPr>
      <w:r>
        <w:rPr>
          <w:rFonts w:ascii="Arial" w:cs="Arial" w:eastAsia="Arial" w:hAnsi="Arial"/>
          <w:sz w:val="22"/>
          <w:szCs w:val="22"/>
        </w:rPr>
        <w:t xml:space="preserve">Ces comparaisons régionales démontrent que la transparence budgétaire locale est une politique publique viable et accessible pour les pays africains comparables à la Côte d'Ivoire. Des pays comme le Ghana, le Kenya et le Rwanda ont réussi à améliorer significativement leur gouvernance locale en déployant des outils numériques et en imposant des obligations légales de publication. BudgetOuvert s'inscrit dans cette dynamique et propose une voie technologiquement innovante via la blockchain.</w:t>
      </w:r>
    </w:p>
    <w:p>
      <w:pPr>
        <w:pStyle w:val="Heading2"/>
        <w:spacing w:after="160" w:before="280"/>
      </w:pPr>
      <w:r>
        <w:rPr>
          <w:rFonts w:ascii="Arial" w:cs="Arial" w:eastAsia="Arial" w:hAnsi="Arial"/>
          <w:b/>
          <w:bCs/>
          <w:color w:val="1B2A6B"/>
          <w:sz w:val="24"/>
          <w:szCs w:val="24"/>
        </w:rPr>
        <w:t xml:space="preserve">6.2 L'engagement de la Côte d'Ivoire dans l'Open Government Partnership (OGP)</w:t>
      </w:r>
    </w:p>
    <w:p>
      <w:pPr>
        <w:spacing w:after="120" w:before="80"/>
        <w:jc w:val="both"/>
      </w:pPr>
      <w:r>
        <w:rPr>
          <w:rFonts w:ascii="Arial" w:cs="Arial" w:eastAsia="Arial" w:hAnsi="Arial"/>
          <w:sz w:val="22"/>
          <w:szCs w:val="22"/>
        </w:rPr>
        <w:t xml:space="preserve">La Côte d'Ivoire est membre de l'Open Government Partnership (OGP) depuis 2015. Son Plan d'Action 2024-2026, actuellement en cours de mise en œuvre, prévoit des engagements spécifiques pour étendre les pratiques de gouvernement ouvert aux communes.</w:t>
      </w:r>
      <w:r>
        <w:rPr>
          <w:rStyle w:val="FootnoteReference"/>
        </w:rPr>
        <w:footnoteReference w:id="9"/>
      </w:r>
    </w:p>
    <w:p>
      <w:pPr>
        <w:spacing w:after="120" w:before="80"/>
        <w:jc w:val="both"/>
      </w:pPr>
      <w:r>
        <w:rPr>
          <w:rFonts w:ascii="Arial" w:cs="Arial" w:eastAsia="Arial" w:hAnsi="Arial"/>
          <w:sz w:val="22"/>
          <w:szCs w:val="22"/>
        </w:rPr>
        <w:t xml:space="preserve">L'engagement CI-0026 vise à institutionnaliser le budget participatif dans les collectivités territoriales et à développer un réseau de communes pilotes en gouvernance ouverte. L'engagement CI-0027 porte sur le renforcement de la participation citoyenne dans les processus de décision publique. Ces initiatives confirment la reconnaissance officielle du problème au plus haut niveau de l'État ivoirien. BudgetOuvert s'inscrit dans la continuité directe de ces engagements et propose une solution technologique concrète pour les opérationnaliser.</w:t>
      </w:r>
    </w:p>
    <w:p>
      <w:r>
        <w:br w:type="page"/>
      </w:r>
    </w:p>
    <w:p>
      <w:pPr>
        <w:pStyle w:val="Heading1"/>
        <w:spacing w:after="200" w:before="360"/>
      </w:pPr>
      <w:r>
        <w:rPr>
          <w:rFonts w:ascii="Arial" w:cs="Arial" w:eastAsia="Arial" w:hAnsi="Arial"/>
          <w:b/>
          <w:bCs/>
          <w:color w:val="1B2A6B"/>
          <w:sz w:val="28"/>
          <w:szCs w:val="28"/>
        </w:rPr>
        <w:t xml:space="preserve">CHAPITRE 7 — POURQUOI BUDGETOUVERT EST LA RÉPONSE</w:t>
      </w:r>
    </w:p>
    <w:p>
      <w:pPr>
        <w:pBdr>
          <w:bottom w:val="single" w:color="1B2A6B" w:sz="8" w:space="1"/>
        </w:pBdr>
        <w:spacing w:after="160" w:before="0"/>
      </w:pPr>
    </w:p>
    <w:p>
      <w:pPr>
        <w:pStyle w:val="Heading2"/>
        <w:spacing w:after="160" w:before="280"/>
      </w:pPr>
      <w:r>
        <w:rPr>
          <w:rFonts w:ascii="Arial" w:cs="Arial" w:eastAsia="Arial" w:hAnsi="Arial"/>
          <w:b/>
          <w:bCs/>
          <w:color w:val="1B2A6B"/>
          <w:sz w:val="24"/>
          <w:szCs w:val="24"/>
        </w:rPr>
        <w:t xml:space="preserve">7.1 Le diagnostic en cinq chiffres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single" w:color="E5E7EB" w:sz="1"/>
              <w:left w:val="single" w:color="E5E7EB" w:sz="1"/>
              <w:bottom w:val="single" w:color="E5E7EB" w:sz="1"/>
              <w:right w:val="single" w:color="E5E7EB" w:sz="1"/>
            </w:tcBorders>
            <w:shd w:fill="E8EBF5" w:val="clear"/>
            <w:tcMar>
              <w:top w:type="dxa" w:w="140"/>
              <w:left w:type="dxa" w:w="160"/>
              <w:bottom w:type="dxa" w:w="140"/>
              <w:right w:type="dxa" w:w="160"/>
            </w:tcMar>
          </w:tcPr>
          <w:p>
            <w:pPr>
              <w:jc w:val="center"/>
            </w:pPr>
            <w:r>
              <w:rPr>
                <w:rFonts w:ascii="Arial" w:cs="Arial" w:eastAsia="Arial" w:hAnsi="Arial"/>
                <w:b/>
                <w:bCs/>
                <w:color w:val="D4681E"/>
                <w:sz w:val="44"/>
                <w:szCs w:val="44"/>
              </w:rPr>
              <w:t xml:space="preserve">201</w:t>
            </w:r>
          </w:p>
          <w:p>
            <w:pPr>
              <w:jc w:val="center"/>
            </w:pPr>
            <w:r>
              <w:rPr>
                <w:rFonts w:ascii="Arial" w:cs="Arial" w:eastAsia="Arial" w:hAnsi="Arial"/>
                <w:b/>
                <w:bCs/>
                <w:color w:val="1B2A6B"/>
                <w:sz w:val="20"/>
                <w:szCs w:val="20"/>
              </w:rPr>
              <w:t xml:space="preserve">communes gérant 300 Mds FCFA/an</w:t>
            </w:r>
          </w:p>
          <w:p>
            <w:pPr>
              <w:jc w:val="center"/>
            </w:pPr>
            <w:r>
              <w:rPr>
                <w:rFonts w:ascii="Arial" w:cs="Arial" w:eastAsia="Arial" w:hAnsi="Arial"/>
                <w:color w:val="6B7280"/>
                <w:sz w:val="18"/>
                <w:szCs w:val="18"/>
              </w:rPr>
              <w:t xml:space="preserve">UVICOCI / Min. de l'Intérieur</w:t>
            </w:r>
          </w:p>
        </w:tc>
        <w:tc>
          <w:tcPr>
            <w:tcW w:type="dxa" w:w="240"/>
            <w:tcBorders>
              <w:top w:val="none" w:color="FFFFFF" w:sz="0"/>
              <w:left w:val="none" w:color="FFFFFF" w:sz="0"/>
              <w:bottom w:val="none" w:color="FFFFFF" w:sz="0"/>
              <w:right w:val="none" w:color="FFFFFF" w:sz="0"/>
            </w:tcBorders>
          </w:tcPr>
          <w:p/>
        </w:tc>
        <w:tc>
          <w:tcPr>
            <w:tcW w:type="dxa" w:w="240"/>
            <w:tcBorders>
              <w:top w:val="none" w:color="FFFFFF" w:sz="0"/>
              <w:left w:val="none" w:color="FFFFFF" w:sz="0"/>
              <w:bottom w:val="none" w:color="FFFFFF" w:sz="0"/>
              <w:right w:val="none" w:color="FFFFFF" w:sz="0"/>
            </w:tcBorders>
          </w:tcPr>
          <w:p/>
        </w:tc>
      </w:tr>
      <w:tr>
        <w:tc>
          <w:tcPr>
            <w:tcW w:type="dxa" w:w="9360"/>
            <w:tcBorders>
              <w:top w:val="none" w:color="FFFFFF" w:sz="0"/>
              <w:left w:val="none" w:color="FFFFFF" w:sz="0"/>
              <w:bottom w:val="none" w:color="FFFFFF" w:sz="0"/>
              <w:right w:val="none" w:color="FFFFFF" w:sz="0"/>
            </w:tcBorders>
          </w:tcPr>
          <w:p>
            <w:pPr>
              <w:spacing w:after="80" w:before="0"/>
            </w:pPr>
          </w:p>
        </w:tc>
      </w:tr>
      <w:tr>
        <w:tc>
          <w:tcPr>
            <w:tcW w:type="dxa" w:w="4560"/>
            <w:tcBorders>
              <w:top w:val="single" w:color="E5E7EB" w:sz="1"/>
              <w:left w:val="single" w:color="E5E7EB" w:sz="1"/>
              <w:bottom w:val="single" w:color="E5E7EB" w:sz="1"/>
              <w:right w:val="single" w:color="E5E7EB" w:sz="1"/>
            </w:tcBorders>
            <w:shd w:fill="E8EBF5" w:val="clear"/>
            <w:tcMar>
              <w:top w:type="dxa" w:w="140"/>
              <w:left w:type="dxa" w:w="160"/>
              <w:bottom w:type="dxa" w:w="140"/>
              <w:right w:type="dxa" w:w="160"/>
            </w:tcMar>
          </w:tcPr>
          <w:p>
            <w:pPr>
              <w:jc w:val="center"/>
            </w:pPr>
            <w:r>
              <w:rPr>
                <w:rFonts w:ascii="Arial" w:cs="Arial" w:eastAsia="Arial" w:hAnsi="Arial"/>
                <w:b/>
                <w:bCs/>
                <w:color w:val="D4681E"/>
                <w:sz w:val="44"/>
                <w:szCs w:val="44"/>
              </w:rPr>
              <w:t xml:space="preserve">&lt;10 %</w:t>
            </w:r>
          </w:p>
          <w:p>
            <w:pPr>
              <w:jc w:val="center"/>
            </w:pPr>
            <w:r>
              <w:rPr>
                <w:rFonts w:ascii="Arial" w:cs="Arial" w:eastAsia="Arial" w:hAnsi="Arial"/>
                <w:b/>
                <w:bCs/>
                <w:color w:val="1B2A6B"/>
                <w:sz w:val="20"/>
                <w:szCs w:val="20"/>
              </w:rPr>
              <w:t xml:space="preserve">communes transparentes</w:t>
            </w:r>
          </w:p>
          <w:p>
            <w:pPr>
              <w:jc w:val="center"/>
            </w:pPr>
            <w:r>
              <w:rPr>
                <w:rFonts w:ascii="Arial" w:cs="Arial" w:eastAsia="Arial" w:hAnsi="Arial"/>
                <w:color w:val="6B7280"/>
                <w:sz w:val="18"/>
                <w:szCs w:val="18"/>
              </w:rPr>
              <w:t xml:space="preserve">IBP / Cour des Comptes</w:t>
            </w:r>
          </w:p>
        </w:tc>
        <w:tc>
          <w:tcPr>
            <w:tcW w:type="dxa" w:w="240"/>
            <w:tcBorders>
              <w:top w:val="none" w:color="FFFFFF" w:sz="0"/>
              <w:left w:val="none" w:color="FFFFFF" w:sz="0"/>
              <w:bottom w:val="none" w:color="FFFFFF" w:sz="0"/>
              <w:right w:val="none" w:color="FFFFFF" w:sz="0"/>
            </w:tcBorders>
          </w:tcPr>
          <w:p/>
        </w:tc>
        <w:tc>
          <w:tcPr>
            <w:tcW w:type="dxa" w:w="240"/>
            <w:tcBorders>
              <w:top w:val="none" w:color="FFFFFF" w:sz="0"/>
              <w:left w:val="none" w:color="FFFFFF" w:sz="0"/>
              <w:bottom w:val="none" w:color="FFFFFF" w:sz="0"/>
              <w:right w:val="none" w:color="FFFFFF" w:sz="0"/>
            </w:tcBorders>
          </w:tcPr>
          <w:p/>
        </w:tc>
      </w:tr>
      <w:tr>
        <w:tc>
          <w:tcPr>
            <w:tcW w:type="dxa" w:w="9360"/>
            <w:tcBorders>
              <w:top w:val="none" w:color="FFFFFF" w:sz="0"/>
              <w:left w:val="none" w:color="FFFFFF" w:sz="0"/>
              <w:bottom w:val="none" w:color="FFFFFF" w:sz="0"/>
              <w:right w:val="none" w:color="FFFFFF" w:sz="0"/>
            </w:tcBorders>
          </w:tcPr>
          <w:p>
            <w:pPr>
              <w:spacing w:after="80" w:before="0"/>
            </w:pPr>
          </w:p>
        </w:tc>
      </w:tr>
    </w:tbl>
    <w:p>
      <w:pPr>
        <w:spacing w:after="200" w:before="0"/>
      </w:pPr>
    </w:p>
    <w:p>
      <w:pPr>
        <w:pStyle w:val="Heading2"/>
        <w:spacing w:after="160" w:before="280"/>
      </w:pPr>
      <w:r>
        <w:rPr>
          <w:rFonts w:ascii="Arial" w:cs="Arial" w:eastAsia="Arial" w:hAnsi="Arial"/>
          <w:b/>
          <w:bCs/>
          <w:color w:val="1B2A6B"/>
          <w:sz w:val="24"/>
          <w:szCs w:val="24"/>
        </w:rPr>
        <w:t xml:space="preserve">7.2 Ce que BudgetOuvert change concrètement</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rPr>
          <w:tblHeader/>
        </w:trPr>
        <w:tc>
          <w:tcPr>
            <w:tcW w:type="dxa" w:w="4600"/>
            <w:tcBorders>
              <w:top w:val="single" w:color="CCCCCC" w:sz="1"/>
              <w:left w:val="single" w:color="CCCCCC" w:sz="1"/>
              <w:bottom w:val="single" w:color="CCCCCC" w:sz="1"/>
              <w:right w:val="single" w:color="CCCCCC" w:sz="1"/>
            </w:tcBorders>
            <w:shd w:fill="1B2A6B" w:val="clear"/>
            <w:tcMar>
              <w:top w:type="dxa" w:w="100"/>
              <w:left w:type="dxa" w:w="120"/>
              <w:bottom w:type="dxa" w:w="100"/>
              <w:right w:type="dxa" w:w="120"/>
            </w:tcMar>
          </w:tcPr>
          <w:p>
            <w:r>
              <w:rPr>
                <w:rFonts w:ascii="Arial" w:cs="Arial" w:eastAsia="Arial" w:hAnsi="Arial"/>
                <w:b/>
                <w:bCs/>
                <w:color w:val="FFFFFF"/>
                <w:sz w:val="20"/>
                <w:szCs w:val="20"/>
              </w:rPr>
              <w:t xml:space="preserve">Situation actuelle</w:t>
            </w:r>
          </w:p>
        </w:tc>
        <w:tc>
          <w:tcPr>
            <w:tcW w:type="dxa" w:w="4760"/>
            <w:tcBorders>
              <w:top w:val="single" w:color="CCCCCC" w:sz="1"/>
              <w:left w:val="single" w:color="CCCCCC" w:sz="1"/>
              <w:bottom w:val="single" w:color="CCCCCC" w:sz="1"/>
              <w:right w:val="single" w:color="CCCCCC" w:sz="1"/>
            </w:tcBorders>
            <w:shd w:fill="1B2A6B" w:val="clear"/>
            <w:tcMar>
              <w:top w:type="dxa" w:w="100"/>
              <w:left w:type="dxa" w:w="120"/>
              <w:bottom w:type="dxa" w:w="100"/>
              <w:right w:type="dxa" w:w="120"/>
            </w:tcMar>
          </w:tcPr>
          <w:p>
            <w:r>
              <w:rPr>
                <w:rFonts w:ascii="Arial" w:cs="Arial" w:eastAsia="Arial" w:hAnsi="Arial"/>
                <w:b/>
                <w:bCs/>
                <w:color w:val="FFFFFF"/>
                <w:sz w:val="20"/>
                <w:szCs w:val="20"/>
              </w:rPr>
              <w:t xml:space="preserve">Avec BudgetOuvert</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Moins de 10 % des communes publient leurs comptes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100 % des transactions sont publiques dès leur enregistrement</w:t>
            </w:r>
          </w:p>
        </w:tc>
      </w:tr>
      <w:tr>
        <w:tc>
          <w:tcPr>
            <w:tcW w:type="dxa" w:w="4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sz w:val="20"/>
                <w:szCs w:val="20"/>
              </w:rPr>
              <w:t xml:space="preserve">Données modifiables ou supprimables a posteriori</w:t>
            </w:r>
          </w:p>
        </w:tc>
        <w:tc>
          <w:tcPr>
            <w:tcW w:type="dxa" w:w="4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sz w:val="20"/>
                <w:szCs w:val="20"/>
              </w:rPr>
              <w:t xml:space="preserve">Données immuables grâce à l'enregistrement blockchain</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Accès sur demande, souvent refusé ou ignoré</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Accès libre 24h/24, 7j/7, sans inscription ni démarche</w:t>
            </w:r>
          </w:p>
        </w:tc>
      </w:tr>
      <w:tr>
        <w:tc>
          <w:tcPr>
            <w:tcW w:type="dxa" w:w="4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sz w:val="20"/>
                <w:szCs w:val="20"/>
              </w:rPr>
              <w:t xml:space="preserve">Audit uniquement ex-post, rare et coûteux</w:t>
            </w:r>
          </w:p>
        </w:tc>
        <w:tc>
          <w:tcPr>
            <w:tcW w:type="dxa" w:w="4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sz w:val="20"/>
                <w:szCs w:val="20"/>
              </w:rPr>
              <w:t xml:space="preserve">Surveillance citoyenne en temps réel, continue et gratuite</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Justificatifs introuvables lors des contrôles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Documents joints à chaque transaction, vérifiables par tous</w:t>
            </w:r>
          </w:p>
        </w:tc>
      </w:tr>
      <w:tr>
        <w:tc>
          <w:tcPr>
            <w:tcW w:type="dxa" w:w="4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sz w:val="20"/>
                <w:szCs w:val="20"/>
              </w:rPr>
              <w:t xml:space="preserve">Citoyens exclus du contrôle budgétaire</w:t>
            </w:r>
          </w:p>
        </w:tc>
        <w:tc>
          <w:tcPr>
            <w:tcW w:type="dxa" w:w="4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sz w:val="20"/>
                <w:szCs w:val="20"/>
              </w:rPr>
              <w:t xml:space="preserve">Chaque citoyen devient un auditeur potentiel de sa commune</w:t>
            </w:r>
          </w:p>
        </w:tc>
      </w:tr>
    </w:tbl>
    <w:p>
      <w:pPr>
        <w:spacing w:after="200" w:before="0"/>
      </w:pPr>
    </w:p>
    <w:p>
      <w:pPr>
        <w:pStyle w:val="Heading2"/>
        <w:spacing w:after="160" w:before="280"/>
      </w:pPr>
      <w:r>
        <w:rPr>
          <w:rFonts w:ascii="Arial" w:cs="Arial" w:eastAsia="Arial" w:hAnsi="Arial"/>
          <w:b/>
          <w:bCs/>
          <w:color w:val="1B2A6B"/>
          <w:sz w:val="24"/>
          <w:szCs w:val="24"/>
        </w:rPr>
        <w:t xml:space="preserve">7.3 Pourquoi la blockchain et pas un simple tableau Excel publié ?</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6B" w:val="clear"/>
            <w:tcMar>
              <w:top w:type="dxa" w:w="120"/>
              <w:left w:type="dxa" w:w="160"/>
              <w:bottom w:type="dxa" w:w="120"/>
              <w:right w:type="dxa" w:w="160"/>
            </w:tcMar>
          </w:tcPr>
          <w:p>
            <w:r>
              <w:rPr>
                <w:rFonts w:ascii="Arial" w:cs="Arial" w:eastAsia="Arial" w:hAnsi="Arial"/>
                <w:b/>
                <w:bCs/>
                <w:color w:val="FFFFFF"/>
                <w:sz w:val="22"/>
                <w:szCs w:val="22"/>
              </w:rPr>
              <w:t xml:space="preserve">L'apport fondamental de la blockchain</w:t>
            </w:r>
          </w:p>
        </w:tc>
      </w:tr>
      <w:tr>
        <w:tc>
          <w:tcPr>
            <w:tcW w:type="dxa" w:w="9360"/>
            <w:tcBorders>
              <w:top w:val="none" w:color="FFFFFF" w:sz="0"/>
              <w:left w:val="none" w:color="FFFFFF" w:sz="0"/>
              <w:bottom w:val="none" w:color="FFFFFF" w:sz="0"/>
              <w:right w:val="none" w:color="FFFFFF" w:sz="0"/>
            </w:tcBorders>
            <w:shd w:fill="E8EBF5" w:val="clear"/>
            <w:tcMar>
              <w:top w:type="dxa" w:w="120"/>
              <w:left w:type="dxa" w:w="160"/>
              <w:bottom w:type="dxa" w:w="120"/>
              <w:right w:type="dxa" w:w="160"/>
            </w:tcMar>
          </w:tcPr>
          <w:p>
            <w:pPr>
              <w:spacing w:after="60" w:before="60"/>
              <w:jc w:val="both"/>
            </w:pPr>
            <w:r>
              <w:rPr>
                <w:rFonts w:ascii="Arial" w:cs="Arial" w:eastAsia="Arial" w:hAnsi="Arial"/>
                <w:sz w:val="22"/>
                <w:szCs w:val="22"/>
              </w:rPr>
              <w:t xml:space="preserve">Un tableau Excel publié peut être modifié, supprimé ou remplacé par une version altérée. Aucun citoyen ne peut vérifier s'il regarde la version originale ou une version modifiée.</w:t>
            </w:r>
          </w:p>
        </w:tc>
      </w:tr>
      <w:tr>
        <w:tc>
          <w:tcPr>
            <w:tcW w:type="dxa" w:w="9360"/>
            <w:tcBorders>
              <w:top w:val="none" w:color="FFFFFF" w:sz="0"/>
              <w:left w:val="none" w:color="FFFFFF" w:sz="0"/>
              <w:bottom w:val="none" w:color="FFFFFF" w:sz="0"/>
              <w:right w:val="none" w:color="FFFFFF" w:sz="0"/>
            </w:tcBorders>
            <w:shd w:fill="E8EBF5" w:val="clear"/>
            <w:tcMar>
              <w:top w:type="dxa" w:w="120"/>
              <w:left w:type="dxa" w:w="160"/>
              <w:bottom w:type="dxa" w:w="120"/>
              <w:right w:type="dxa" w:w="160"/>
            </w:tcMar>
          </w:tcPr>
          <w:p>
            <w:pPr>
              <w:spacing w:after="60" w:before="60"/>
              <w:jc w:val="both"/>
            </w:pPr>
            <w:r>
              <w:rPr>
                <w:rFonts w:ascii="Arial" w:cs="Arial" w:eastAsia="Arial" w:hAnsi="Arial"/>
                <w:sz w:val="22"/>
                <w:szCs w:val="22"/>
              </w:rPr>
              <w:t xml:space="preserve"/>
            </w:r>
          </w:p>
        </w:tc>
      </w:tr>
      <w:tr>
        <w:tc>
          <w:tcPr>
            <w:tcW w:type="dxa" w:w="9360"/>
            <w:tcBorders>
              <w:top w:val="none" w:color="FFFFFF" w:sz="0"/>
              <w:left w:val="none" w:color="FFFFFF" w:sz="0"/>
              <w:bottom w:val="none" w:color="FFFFFF" w:sz="0"/>
              <w:right w:val="none" w:color="FFFFFF" w:sz="0"/>
            </w:tcBorders>
            <w:shd w:fill="E8EBF5" w:val="clear"/>
            <w:tcMar>
              <w:top w:type="dxa" w:w="120"/>
              <w:left w:type="dxa" w:w="160"/>
              <w:bottom w:type="dxa" w:w="120"/>
              <w:right w:type="dxa" w:w="160"/>
            </w:tcMar>
          </w:tcPr>
          <w:p>
            <w:pPr>
              <w:spacing w:after="60" w:before="60"/>
              <w:jc w:val="both"/>
            </w:pPr>
            <w:r>
              <w:rPr>
                <w:rFonts w:ascii="Arial" w:cs="Arial" w:eastAsia="Arial" w:hAnsi="Arial"/>
                <w:sz w:val="22"/>
                <w:szCs w:val="22"/>
              </w:rPr>
              <w:t xml:space="preserve">La blockchain garantit que chaque transaction enregistrée est permanente et publiquement vérifiable. Personne — pas même le maire — ne peut modifier ou effacer un enregistrement une fois validé. La comptabilité devient un registre public vérifiable par tous, en temps réel.</w:t>
            </w:r>
          </w:p>
        </w:tc>
      </w:tr>
      <w:tr>
        <w:tc>
          <w:tcPr>
            <w:tcW w:type="dxa" w:w="9360"/>
            <w:tcBorders>
              <w:top w:val="none" w:color="FFFFFF" w:sz="0"/>
              <w:left w:val="none" w:color="FFFFFF" w:sz="0"/>
              <w:bottom w:val="none" w:color="FFFFFF" w:sz="0"/>
              <w:right w:val="none" w:color="FFFFFF" w:sz="0"/>
            </w:tcBorders>
            <w:shd w:fill="E8EBF5" w:val="clear"/>
            <w:tcMar>
              <w:top w:type="dxa" w:w="120"/>
              <w:left w:type="dxa" w:w="160"/>
              <w:bottom w:type="dxa" w:w="120"/>
              <w:right w:type="dxa" w:w="160"/>
            </w:tcMar>
          </w:tcPr>
          <w:p>
            <w:pPr>
              <w:spacing w:after="60" w:before="60"/>
              <w:jc w:val="both"/>
            </w:pPr>
            <w:r>
              <w:rPr>
                <w:rFonts w:ascii="Arial" w:cs="Arial" w:eastAsia="Arial" w:hAnsi="Arial"/>
                <w:sz w:val="22"/>
                <w:szCs w:val="22"/>
              </w:rPr>
              <w:t xml:space="preserve"/>
            </w:r>
          </w:p>
        </w:tc>
      </w:tr>
      <w:tr>
        <w:tc>
          <w:tcPr>
            <w:tcW w:type="dxa" w:w="9360"/>
            <w:tcBorders>
              <w:top w:val="none" w:color="FFFFFF" w:sz="0"/>
              <w:left w:val="none" w:color="FFFFFF" w:sz="0"/>
              <w:bottom w:val="none" w:color="FFFFFF" w:sz="0"/>
              <w:right w:val="none" w:color="FFFFFF" w:sz="0"/>
            </w:tcBorders>
            <w:shd w:fill="E8EBF5" w:val="clear"/>
            <w:tcMar>
              <w:top w:type="dxa" w:w="120"/>
              <w:left w:type="dxa" w:w="160"/>
              <w:bottom w:type="dxa" w:w="120"/>
              <w:right w:type="dxa" w:w="160"/>
            </w:tcMar>
          </w:tcPr>
          <w:p>
            <w:pPr>
              <w:spacing w:after="60" w:before="60"/>
              <w:jc w:val="both"/>
            </w:pPr>
            <w:r>
              <w:rPr>
                <w:rFonts w:ascii="Arial" w:cs="Arial" w:eastAsia="Arial" w:hAnsi="Arial"/>
                <w:sz w:val="22"/>
                <w:szCs w:val="22"/>
              </w:rPr>
              <w:t xml:space="preserve">Source : MIABE Hackathon 2026, Cadre de Référence — Darollo Technologies Corporation, p. 127.</w:t>
            </w:r>
          </w:p>
        </w:tc>
      </w:tr>
    </w:tbl>
    <w:p>
      <w:r>
        <w:br w:type="page"/>
      </w:r>
    </w:p>
    <w:p>
      <w:pPr>
        <w:pStyle w:val="Heading1"/>
        <w:spacing w:after="200" w:before="360"/>
      </w:pPr>
      <w:r>
        <w:rPr>
          <w:rFonts w:ascii="Arial" w:cs="Arial" w:eastAsia="Arial" w:hAnsi="Arial"/>
          <w:b/>
          <w:bCs/>
          <w:color w:val="1B2A6B"/>
          <w:sz w:val="28"/>
          <w:szCs w:val="28"/>
        </w:rPr>
        <w:t xml:space="preserve">CONCLUSION GÉNÉRALE</w:t>
      </w:r>
    </w:p>
    <w:p>
      <w:pPr>
        <w:pBdr>
          <w:bottom w:val="single" w:color="1B2A6B" w:sz="8" w:space="1"/>
        </w:pBdr>
        <w:spacing w:after="160" w:before="0"/>
      </w:pPr>
    </w:p>
    <w:p>
      <w:pPr>
        <w:spacing w:after="120" w:before="80"/>
        <w:jc w:val="both"/>
      </w:pPr>
      <w:r>
        <w:rPr>
          <w:rFonts w:ascii="Arial" w:cs="Arial" w:eastAsia="Arial" w:hAnsi="Arial"/>
          <w:sz w:val="22"/>
          <w:szCs w:val="22"/>
        </w:rPr>
        <w:t xml:space="preserve">L'opacité budgétaire dans les communes ivoiriennes n'est pas une fatalité — c'est le résultat d'une combinaison de facteurs structurels, institutionnels et comportementaux qui peuvent être surmontés par la technologie et la volonté politique.</w:t>
      </w:r>
    </w:p>
    <w:p>
      <w:pPr>
        <w:spacing w:after="120" w:before="80"/>
        <w:jc w:val="both"/>
      </w:pPr>
      <w:r>
        <w:rPr>
          <w:rFonts w:ascii="Arial" w:cs="Arial" w:eastAsia="Arial" w:hAnsi="Arial"/>
          <w:sz w:val="22"/>
          <w:szCs w:val="22"/>
        </w:rPr>
        <w:t xml:space="preserve">Les données sont sans appel : 65 % des comptes communaux audités présentent des irrégularités ; moins de 10 % des communes publient leurs comptes ; moins de 3 % des citoyens accèdent à une information sur le budget de leur commune ; le score de participation citoyenne est de 4 sur 100. Ces chiffres ne sont pas des estimations contestables — ils proviennent de la Cour des Comptes de Côte d'Ivoire elle-même, de l'International Budget Partnership, et d'études académiques à comité de lecture.</w:t>
      </w:r>
    </w:p>
    <w:p>
      <w:pPr>
        <w:spacing w:after="120" w:before="80"/>
        <w:jc w:val="both"/>
      </w:pPr>
      <w:r>
        <w:rPr>
          <w:rFonts w:ascii="Arial" w:cs="Arial" w:eastAsia="Arial" w:hAnsi="Arial"/>
          <w:sz w:val="22"/>
          <w:szCs w:val="22"/>
        </w:rPr>
        <w:t xml:space="preserve">Les outils existants — SIGESCOD, audits de la Cour des Comptes, engagements OGP — sont nécessaires mais insuffisants. Ils opèrent principalement en aval des problèmes, après que les irrégularités se sont produites. BudgetOuvert opère en amont : en rendant chaque franc CFA communal traçable, immuable et public en temps réel, il transforme structurellement la relation entre les communes ivoiriennes et leurs citoyens.</w:t>
      </w:r>
    </w:p>
    <w:p>
      <w:pPr>
        <w:spacing w:after="120" w:before="80"/>
        <w:jc w:val="both"/>
      </w:pPr>
      <w:r>
        <w:rPr>
          <w:rFonts w:ascii="Arial" w:cs="Arial" w:eastAsia="Arial" w:hAnsi="Arial"/>
          <w:sz w:val="22"/>
          <w:szCs w:val="22"/>
        </w:rPr>
        <w:t xml:space="preserve">Ce premier livrable a démontré que le problème est réel, massif, documenté et urgent. Les phases suivantes du projet BudgetOuvert s'attacheront à concevoir, développer et déployer la solution technologique qui y répond.</w:t>
      </w:r>
    </w:p>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6B" w:val="clear"/>
            <w:tcMar>
              <w:top w:type="dxa" w:w="120"/>
              <w:left w:type="dxa" w:w="160"/>
              <w:bottom w:type="dxa" w:w="120"/>
              <w:right w:type="dxa" w:w="160"/>
            </w:tcMar>
          </w:tcPr>
          <w:p>
            <w:r>
              <w:rPr>
                <w:rFonts w:ascii="Arial" w:cs="Arial" w:eastAsia="Arial" w:hAnsi="Arial"/>
                <w:b/>
                <w:bCs/>
                <w:color w:val="FFFFFF"/>
                <w:sz w:val="22"/>
                <w:szCs w:val="22"/>
              </w:rPr>
              <w:t xml:space="preserve">Message central de BudgetOuvert</w:t>
            </w:r>
          </w:p>
        </w:tc>
      </w:tr>
      <w:tr>
        <w:tc>
          <w:tcPr>
            <w:tcW w:type="dxa" w:w="9360"/>
            <w:tcBorders>
              <w:top w:val="none" w:color="FFFFFF" w:sz="0"/>
              <w:left w:val="none" w:color="FFFFFF" w:sz="0"/>
              <w:bottom w:val="none" w:color="FFFFFF" w:sz="0"/>
              <w:right w:val="none" w:color="FFFFFF" w:sz="0"/>
            </w:tcBorders>
            <w:shd w:fill="E8EBF5" w:val="clear"/>
            <w:tcMar>
              <w:top w:type="dxa" w:w="120"/>
              <w:left w:type="dxa" w:w="160"/>
              <w:bottom w:type="dxa" w:w="120"/>
              <w:right w:type="dxa" w:w="160"/>
            </w:tcMar>
          </w:tcPr>
          <w:p>
            <w:pPr>
              <w:spacing w:after="60" w:before="60"/>
              <w:jc w:val="both"/>
            </w:pPr>
            <w:r>
              <w:rPr>
                <w:rFonts w:ascii="Arial" w:cs="Arial" w:eastAsia="Arial" w:hAnsi="Arial"/>
                <w:sz w:val="22"/>
                <w:szCs w:val="22"/>
              </w:rPr>
              <w:t xml:space="preserve">Le budget d'une commune appartient à ses citoyens. Il est temps de le leur rendre — en temps réel, de façon compréhensible, vérifiable et immuable. BudgetOuvert rend cela possible.</w:t>
            </w:r>
          </w:p>
        </w:tc>
      </w:tr>
    </w:tbl>
    <w:p>
      <w:r>
        <w:br w:type="page"/>
      </w:r>
    </w:p>
    <w:p>
      <w:pPr>
        <w:pStyle w:val="Heading1"/>
        <w:spacing w:after="200" w:before="360"/>
      </w:pPr>
      <w:r>
        <w:rPr>
          <w:rFonts w:ascii="Arial" w:cs="Arial" w:eastAsia="Arial" w:hAnsi="Arial"/>
          <w:b/>
          <w:bCs/>
          <w:color w:val="1B2A6B"/>
          <w:sz w:val="28"/>
          <w:szCs w:val="28"/>
        </w:rPr>
        <w:t xml:space="preserve">RECOMMANDATIONS CONCRÈTES ET ACTIONNABLES</w:t>
      </w:r>
    </w:p>
    <w:p>
      <w:pPr>
        <w:pBdr>
          <w:bottom w:val="single" w:color="1B2A6B" w:sz="8" w:space="1"/>
        </w:pBdr>
        <w:spacing w:after="160" w:before="0"/>
      </w:pPr>
    </w:p>
    <w:p>
      <w:pPr>
        <w:spacing w:after="120" w:before="80"/>
        <w:jc w:val="both"/>
      </w:pPr>
      <w:r>
        <w:rPr>
          <w:rFonts w:ascii="Arial" w:cs="Arial" w:eastAsia="Arial" w:hAnsi="Arial"/>
          <w:sz w:val="22"/>
          <w:szCs w:val="22"/>
        </w:rPr>
        <w:t xml:space="preserve">Sur la base de l'analyse conduite dans ce document, l'équipe BudgetOuvert formule les recommandations suivantes à l'attention des décideurs publics, des institutions de contrôle et des partenaires au développement :</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D4681E"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w:t>
            </w:r>
          </w:p>
        </w:tc>
        <w:tc>
          <w:tcPr>
            <w:tcW w:type="dxa" w:w="8640"/>
            <w:tcBorders>
              <w:top w:val="none" w:color="FFFFFF" w:sz="0"/>
              <w:left w:val="none" w:color="FFFFFF" w:sz="0"/>
              <w:bottom w:val="none" w:color="FFFFFF" w:sz="0"/>
              <w:right w:val="none" w:color="FFFFFF" w:sz="0"/>
            </w:tcBorders>
            <w:shd w:fill="FDF0E6" w:val="clear"/>
            <w:tcMar>
              <w:top w:type="dxa" w:w="120"/>
              <w:left w:type="dxa" w:w="160"/>
              <w:bottom w:type="dxa" w:w="120"/>
              <w:right w:type="dxa" w:w="160"/>
            </w:tcMar>
          </w:tcPr>
          <w:p>
            <w:pPr>
              <w:spacing w:after="80" w:before="0"/>
            </w:pPr>
            <w:r>
              <w:rPr>
                <w:rFonts w:ascii="Arial" w:cs="Arial" w:eastAsia="Arial" w:hAnsi="Arial"/>
                <w:b/>
                <w:bCs/>
                <w:color w:val="D4681E"/>
                <w:sz w:val="22"/>
                <w:szCs w:val="22"/>
              </w:rPr>
              <w:t xml:space="preserve">Rendre la publication budgétaire obligatoire et sanctionnée</w:t>
            </w:r>
          </w:p>
          <w:p>
            <w:pPr>
              <w:jc w:val="both"/>
            </w:pPr>
            <w:r>
              <w:rPr>
                <w:rFonts w:ascii="Arial" w:cs="Arial" w:eastAsia="Arial" w:hAnsi="Arial"/>
                <w:sz w:val="21"/>
                <w:szCs w:val="21"/>
              </w:rPr>
              <w:t xml:space="preserve">Amender la loi n° 2020-885 du 21 octobre 2020 pour imposer aux communes une obligation légale de publication trimestrielle de leurs recettes et dépenses dans un format standardisé et accessible en ligne. Prévoir des sanctions financières et administratives en cas de non-respect, applicables par la Cour des Comptes.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D4681E"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2</w:t>
            </w:r>
          </w:p>
        </w:tc>
        <w:tc>
          <w:tcPr>
            <w:tcW w:type="dxa" w:w="8640"/>
            <w:tcBorders>
              <w:top w:val="none" w:color="FFFFFF" w:sz="0"/>
              <w:left w:val="none" w:color="FFFFFF" w:sz="0"/>
              <w:bottom w:val="none" w:color="FFFFFF" w:sz="0"/>
              <w:right w:val="none" w:color="FFFFFF" w:sz="0"/>
            </w:tcBorders>
            <w:shd w:fill="FDF0E6" w:val="clear"/>
            <w:tcMar>
              <w:top w:type="dxa" w:w="120"/>
              <w:left w:type="dxa" w:w="160"/>
              <w:bottom w:type="dxa" w:w="120"/>
              <w:right w:type="dxa" w:w="160"/>
            </w:tcMar>
          </w:tcPr>
          <w:p>
            <w:pPr>
              <w:spacing w:after="80" w:before="0"/>
            </w:pPr>
            <w:r>
              <w:rPr>
                <w:rFonts w:ascii="Arial" w:cs="Arial" w:eastAsia="Arial" w:hAnsi="Arial"/>
                <w:b/>
                <w:bCs/>
                <w:color w:val="D4681E"/>
                <w:sz w:val="22"/>
                <w:szCs w:val="22"/>
              </w:rPr>
              <w:t xml:space="preserve">Déployer BudgetOuvert comme infrastructure de transparence nationale</w:t>
            </w:r>
          </w:p>
          <w:p>
            <w:pPr>
              <w:jc w:val="both"/>
            </w:pPr>
            <w:r>
              <w:rPr>
                <w:rFonts w:ascii="Arial" w:cs="Arial" w:eastAsia="Arial" w:hAnsi="Arial"/>
                <w:sz w:val="21"/>
                <w:szCs w:val="21"/>
              </w:rPr>
              <w:t xml:space="preserve">Intégrer BudgetOuvert dans le cadre du Plan d'Action OGP 2024-2026 de la Côte d'Ivoire, en commençant par un pilote sur 10 à 20 communes volontaires représentant la diversité géographique et démographique du pays. Utiliser les communes pilotes comme preuves de concept pour une généralisation nationale.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D4681E"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3</w:t>
            </w:r>
          </w:p>
        </w:tc>
        <w:tc>
          <w:tcPr>
            <w:tcW w:type="dxa" w:w="8640"/>
            <w:tcBorders>
              <w:top w:val="none" w:color="FFFFFF" w:sz="0"/>
              <w:left w:val="none" w:color="FFFFFF" w:sz="0"/>
              <w:bottom w:val="none" w:color="FFFFFF" w:sz="0"/>
              <w:right w:val="none" w:color="FFFFFF" w:sz="0"/>
            </w:tcBorders>
            <w:shd w:fill="FDF0E6" w:val="clear"/>
            <w:tcMar>
              <w:top w:type="dxa" w:w="120"/>
              <w:left w:type="dxa" w:w="160"/>
              <w:bottom w:type="dxa" w:w="120"/>
              <w:right w:type="dxa" w:w="160"/>
            </w:tcMar>
          </w:tcPr>
          <w:p>
            <w:pPr>
              <w:spacing w:after="80" w:before="0"/>
            </w:pPr>
            <w:r>
              <w:rPr>
                <w:rFonts w:ascii="Arial" w:cs="Arial" w:eastAsia="Arial" w:hAnsi="Arial"/>
                <w:b/>
                <w:bCs/>
                <w:color w:val="D4681E"/>
                <w:sz w:val="22"/>
                <w:szCs w:val="22"/>
              </w:rPr>
              <w:t xml:space="preserve">Renforcer les capacités techniques des communes</w:t>
            </w:r>
          </w:p>
          <w:p>
            <w:pPr>
              <w:jc w:val="both"/>
            </w:pPr>
            <w:r>
              <w:rPr>
                <w:rFonts w:ascii="Arial" w:cs="Arial" w:eastAsia="Arial" w:hAnsi="Arial"/>
                <w:sz w:val="21"/>
                <w:szCs w:val="21"/>
              </w:rPr>
              <w:t xml:space="preserve">Développer des programmes de formation accélérée pour les agents financiers des communes sur la gestion budgétaire conforme aux normes UEMOA et sur l'utilisation des outils numériques de publication. Prévoir un accompagnement technique dédié pour les communes de moins de 10 000 habitants, dont les capacités sont les plus limitées.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D4681E"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4</w:t>
            </w:r>
          </w:p>
        </w:tc>
        <w:tc>
          <w:tcPr>
            <w:tcW w:type="dxa" w:w="8640"/>
            <w:tcBorders>
              <w:top w:val="none" w:color="FFFFFF" w:sz="0"/>
              <w:left w:val="none" w:color="FFFFFF" w:sz="0"/>
              <w:bottom w:val="none" w:color="FFFFFF" w:sz="0"/>
              <w:right w:val="none" w:color="FFFFFF" w:sz="0"/>
            </w:tcBorders>
            <w:shd w:fill="FDF0E6" w:val="clear"/>
            <w:tcMar>
              <w:top w:type="dxa" w:w="120"/>
              <w:left w:type="dxa" w:w="160"/>
              <w:bottom w:type="dxa" w:w="120"/>
              <w:right w:type="dxa" w:w="160"/>
            </w:tcMar>
          </w:tcPr>
          <w:p>
            <w:pPr>
              <w:spacing w:after="80" w:before="0"/>
            </w:pPr>
            <w:r>
              <w:rPr>
                <w:rFonts w:ascii="Arial" w:cs="Arial" w:eastAsia="Arial" w:hAnsi="Arial"/>
                <w:b/>
                <w:bCs/>
                <w:color w:val="D4681E"/>
                <w:sz w:val="22"/>
                <w:szCs w:val="22"/>
              </w:rPr>
              <w:t xml:space="preserve">Institutionnaliser les audits citoyens</w:t>
            </w:r>
          </w:p>
          <w:p>
            <w:pPr>
              <w:jc w:val="both"/>
            </w:pPr>
            <w:r>
              <w:rPr>
                <w:rFonts w:ascii="Arial" w:cs="Arial" w:eastAsia="Arial" w:hAnsi="Arial"/>
                <w:sz w:val="21"/>
                <w:szCs w:val="21"/>
              </w:rPr>
              <w:t xml:space="preserve">Créer un cadre légal permettant aux associations de citoyens, aux ONG et aux journalistes d'accéder systématiquement aux données budgétaires communales et d'organiser des audits citoyens participatifs. S'appuyer sur les mécanismes OGP existants et l'engagement CI-0026 du Plan d'Action 2024-2026.</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D4681E"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5</w:t>
            </w:r>
          </w:p>
        </w:tc>
        <w:tc>
          <w:tcPr>
            <w:tcW w:type="dxa" w:w="8640"/>
            <w:tcBorders>
              <w:top w:val="none" w:color="FFFFFF" w:sz="0"/>
              <w:left w:val="none" w:color="FFFFFF" w:sz="0"/>
              <w:bottom w:val="none" w:color="FFFFFF" w:sz="0"/>
              <w:right w:val="none" w:color="FFFFFF" w:sz="0"/>
            </w:tcBorders>
            <w:shd w:fill="FDF0E6" w:val="clear"/>
            <w:tcMar>
              <w:top w:type="dxa" w:w="120"/>
              <w:left w:type="dxa" w:w="160"/>
              <w:bottom w:type="dxa" w:w="120"/>
              <w:right w:type="dxa" w:w="160"/>
            </w:tcMar>
          </w:tcPr>
          <w:p>
            <w:pPr>
              <w:spacing w:after="80" w:before="0"/>
            </w:pPr>
            <w:r>
              <w:rPr>
                <w:rFonts w:ascii="Arial" w:cs="Arial" w:eastAsia="Arial" w:hAnsi="Arial"/>
                <w:b/>
                <w:bCs/>
                <w:color w:val="D4681E"/>
                <w:sz w:val="22"/>
                <w:szCs w:val="22"/>
              </w:rPr>
              <w:t xml:space="preserve">Renforcer les ressources et l'autonomie de la Cour des Comptes</w:t>
            </w:r>
          </w:p>
          <w:p>
            <w:pPr>
              <w:jc w:val="both"/>
            </w:pPr>
            <w:r>
              <w:rPr>
                <w:rFonts w:ascii="Arial" w:cs="Arial" w:eastAsia="Arial" w:hAnsi="Arial"/>
                <w:sz w:val="21"/>
                <w:szCs w:val="21"/>
              </w:rPr>
              <w:t xml:space="preserve">Augmenter les ressources humaines et financières de la Cour des Comptes pour lui permettre d'auditer l'ensemble des 201 communes sur un cycle de 3 à 5 ans, plutôt que de se limiter à un échantillon représentant moins de 35 % du total. BudgetOuvert facilite ce travail en rendant les données disponibles en temps réel pour les équipes d'audit.</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D4681E"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6</w:t>
            </w:r>
          </w:p>
        </w:tc>
        <w:tc>
          <w:tcPr>
            <w:tcW w:type="dxa" w:w="8640"/>
            <w:tcBorders>
              <w:top w:val="none" w:color="FFFFFF" w:sz="0"/>
              <w:left w:val="none" w:color="FFFFFF" w:sz="0"/>
              <w:bottom w:val="none" w:color="FFFFFF" w:sz="0"/>
              <w:right w:val="none" w:color="FFFFFF" w:sz="0"/>
            </w:tcBorders>
            <w:shd w:fill="FDF0E6" w:val="clear"/>
            <w:tcMar>
              <w:top w:type="dxa" w:w="120"/>
              <w:left w:type="dxa" w:w="160"/>
              <w:bottom w:type="dxa" w:w="120"/>
              <w:right w:type="dxa" w:w="160"/>
            </w:tcMar>
          </w:tcPr>
          <w:p>
            <w:pPr>
              <w:spacing w:after="80" w:before="0"/>
            </w:pPr>
            <w:r>
              <w:rPr>
                <w:rFonts w:ascii="Arial" w:cs="Arial" w:eastAsia="Arial" w:hAnsi="Arial"/>
                <w:b/>
                <w:bCs/>
                <w:color w:val="D4681E"/>
                <w:sz w:val="22"/>
                <w:szCs w:val="22"/>
              </w:rPr>
              <w:t xml:space="preserve">Conditionner les transferts de l'État à la transparence</w:t>
            </w:r>
          </w:p>
          <w:p>
            <w:pPr>
              <w:jc w:val="both"/>
            </w:pPr>
            <w:r>
              <w:rPr>
                <w:rFonts w:ascii="Arial" w:cs="Arial" w:eastAsia="Arial" w:hAnsi="Arial"/>
                <w:sz w:val="21"/>
                <w:szCs w:val="21"/>
              </w:rPr>
              <w:t xml:space="preserve">Instaurer un mécanisme de bonus-malus sur les transferts étatiques aux communes (DGF, FIAU) : les communes qui publient leurs données budgétaires dans les délais impartis bénéficieraient d'un bonus de 5 à 10 %, tandis que celles qui ne publient pas subiraient une réduction proportionnelle. Ce mécanisme crée une incitation financière directe à la transparence.</w:t>
            </w:r>
          </w:p>
        </w:tc>
      </w:tr>
    </w:tbl>
    <w:p>
      <w:r>
        <w:br w:type="page"/>
      </w:r>
    </w:p>
    <w:p>
      <w:pPr>
        <w:pStyle w:val="Heading1"/>
        <w:spacing w:after="200" w:before="360"/>
      </w:pPr>
      <w:r>
        <w:rPr>
          <w:rFonts w:ascii="Arial" w:cs="Arial" w:eastAsia="Arial" w:hAnsi="Arial"/>
          <w:b/>
          <w:bCs/>
          <w:color w:val="1B2A6B"/>
          <w:sz w:val="28"/>
          <w:szCs w:val="28"/>
        </w:rPr>
        <w:t xml:space="preserve">ANNEXES</w:t>
      </w:r>
    </w:p>
    <w:p>
      <w:pPr>
        <w:pBdr>
          <w:bottom w:val="single" w:color="1B2A6B" w:sz="8" w:space="1"/>
        </w:pBdr>
        <w:spacing w:after="160" w:before="0"/>
      </w:pPr>
    </w:p>
    <w:p>
      <w:pPr>
        <w:pStyle w:val="Heading2"/>
        <w:spacing w:after="160" w:before="280"/>
      </w:pPr>
      <w:r>
        <w:rPr>
          <w:rFonts w:ascii="Arial" w:cs="Arial" w:eastAsia="Arial" w:hAnsi="Arial"/>
          <w:b/>
          <w:bCs/>
          <w:color w:val="1B2A6B"/>
          <w:sz w:val="24"/>
          <w:szCs w:val="24"/>
        </w:rPr>
        <w:t xml:space="preserve">Annexe A — Cadre du projet BudgetOuvert (CI-01)</w:t>
      </w:r>
    </w:p>
    <w:p>
      <w:pPr>
        <w:spacing w:after="120" w:before="80"/>
        <w:jc w:val="both"/>
      </w:pPr>
      <w:r>
        <w:rPr>
          <w:rFonts w:ascii="Arial" w:cs="Arial" w:eastAsia="Arial" w:hAnsi="Arial"/>
          <w:sz w:val="22"/>
          <w:szCs w:val="22"/>
        </w:rPr>
        <w:t xml:space="preserve">Le projet BudgetOuvert s'inscrit dans le cadre du MIABE Hackathon 2026, organisé par Darollo Technologies Corporation autour de la thématique 'La Blockchain, levier du développement durable africain'. Il correspond à la fiche projet CI-01 du domaine D08 — Gouvernance locale et Transparence budgétaire.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2A6B" w:val="clear"/>
            <w:tcMar>
              <w:top w:type="dxa" w:w="100"/>
              <w:left w:type="dxa" w:w="120"/>
              <w:bottom w:type="dxa" w:w="100"/>
              <w:right w:type="dxa" w:w="120"/>
            </w:tcMar>
          </w:tcPr>
          <w:p>
            <w:r>
              <w:rPr>
                <w:rFonts w:ascii="Arial" w:cs="Arial" w:eastAsia="Arial" w:hAnsi="Arial"/>
                <w:b/>
                <w:bCs/>
                <w:color w:val="FFFFFF"/>
                <w:sz w:val="20"/>
                <w:szCs w:val="20"/>
              </w:rPr>
              <w:t xml:space="preserve">Paramètre</w:t>
            </w:r>
          </w:p>
        </w:tc>
        <w:tc>
          <w:tcPr>
            <w:tcW w:type="dxa" w:w="6360"/>
            <w:tcBorders>
              <w:top w:val="single" w:color="CCCCCC" w:sz="1"/>
              <w:left w:val="single" w:color="CCCCCC" w:sz="1"/>
              <w:bottom w:val="single" w:color="CCCCCC" w:sz="1"/>
              <w:right w:val="single" w:color="CCCCCC" w:sz="1"/>
            </w:tcBorders>
            <w:shd w:fill="1B2A6B" w:val="clear"/>
            <w:tcMar>
              <w:top w:type="dxa" w:w="100"/>
              <w:left w:type="dxa" w:w="120"/>
              <w:bottom w:type="dxa" w:w="100"/>
              <w:right w:type="dxa" w:w="120"/>
            </w:tcMar>
          </w:tcPr>
          <w:p>
            <w:r>
              <w:rPr>
                <w:rFonts w:ascii="Arial" w:cs="Arial" w:eastAsia="Arial" w:hAnsi="Arial"/>
                <w:b/>
                <w:bCs/>
                <w:color w:val="FFFFFF"/>
                <w:sz w:val="20"/>
                <w:szCs w:val="20"/>
              </w:rPr>
              <w:t xml:space="preserve">Valeur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Référence projet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CI-01 — BudgetOuvert</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sz w:val="20"/>
                <w:szCs w:val="20"/>
              </w:rPr>
              <w:t xml:space="preserve">Domaine</w:t>
            </w:r>
          </w:p>
        </w:tc>
        <w:tc>
          <w:tcPr>
            <w:tcW w:type="dxa" w:w="6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sz w:val="20"/>
                <w:szCs w:val="20"/>
              </w:rPr>
              <w:t xml:space="preserve">D08 — Gouvernance locale &amp; Transparence budgétaire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ODD alignés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ODD 11 (Villes durables), ODD 16 (Institutions efficaces), ODD 17 (Partenariats)</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sz w:val="20"/>
                <w:szCs w:val="20"/>
              </w:rPr>
              <w:t xml:space="preserve">Livrable Phase 1</w:t>
            </w:r>
          </w:p>
        </w:tc>
        <w:tc>
          <w:tcPr>
            <w:tcW w:type="dxa" w:w="6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sz w:val="20"/>
                <w:szCs w:val="20"/>
              </w:rPr>
              <w:t xml:space="preserve">Documentation de l'opacité budgétaire avec données et exemples de la Cour des Comptes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Livrable Phase 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Interface commune, tableau de bord public, application mobile citoyenne (démo live)</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sz w:val="20"/>
                <w:szCs w:val="20"/>
              </w:rPr>
              <w:t xml:space="preserve">Livrable Phase 3</w:t>
            </w:r>
          </w:p>
        </w:tc>
        <w:tc>
          <w:tcPr>
            <w:tcW w:type="dxa" w:w="6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sz w:val="20"/>
                <w:szCs w:val="20"/>
              </w:rPr>
              <w:t xml:space="preserve">MVP complet avec comparaison budget prévu vs réalisé, documentation et pitch 10 min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Hackathon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MIABE Hackathon 2026 — www.miabehackathon.com</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sz w:val="20"/>
                <w:szCs w:val="20"/>
              </w:rPr>
              <w:t xml:space="preserve">Organisateur</w:t>
            </w:r>
          </w:p>
        </w:tc>
        <w:tc>
          <w:tcPr>
            <w:tcW w:type="dxa" w:w="6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sz w:val="20"/>
                <w:szCs w:val="20"/>
              </w:rPr>
              <w:t xml:space="preserve">Darollo Technologies Corporation (DTC)</w:t>
            </w:r>
          </w:p>
        </w:tc>
      </w:tr>
    </w:tbl>
    <w:p>
      <w:pPr>
        <w:spacing w:after="200" w:before="0"/>
      </w:pPr>
    </w:p>
    <w:p>
      <w:pPr>
        <w:pStyle w:val="Heading2"/>
        <w:spacing w:after="160" w:before="280"/>
      </w:pPr>
      <w:r>
        <w:rPr>
          <w:rFonts w:ascii="Arial" w:cs="Arial" w:eastAsia="Arial" w:hAnsi="Arial"/>
          <w:b/>
          <w:bCs/>
          <w:color w:val="1B2A6B"/>
          <w:sz w:val="24"/>
          <w:szCs w:val="24"/>
        </w:rPr>
        <w:t xml:space="preserve">Annexe B — Glossaire des termes clés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2A6B" w:val="clear"/>
            <w:tcMar>
              <w:top w:type="dxa" w:w="100"/>
              <w:left w:type="dxa" w:w="120"/>
              <w:bottom w:type="dxa" w:w="100"/>
              <w:right w:type="dxa" w:w="120"/>
            </w:tcMar>
          </w:tcPr>
          <w:p>
            <w:r>
              <w:rPr>
                <w:rFonts w:ascii="Arial" w:cs="Arial" w:eastAsia="Arial" w:hAnsi="Arial"/>
                <w:b/>
                <w:bCs/>
                <w:color w:val="FFFFFF"/>
                <w:sz w:val="20"/>
                <w:szCs w:val="20"/>
              </w:rPr>
              <w:t xml:space="preserve">Terme</w:t>
            </w:r>
          </w:p>
        </w:tc>
        <w:tc>
          <w:tcPr>
            <w:tcW w:type="dxa" w:w="6560"/>
            <w:tcBorders>
              <w:top w:val="single" w:color="CCCCCC" w:sz="1"/>
              <w:left w:val="single" w:color="CCCCCC" w:sz="1"/>
              <w:bottom w:val="single" w:color="CCCCCC" w:sz="1"/>
              <w:right w:val="single" w:color="CCCCCC" w:sz="1"/>
            </w:tcBorders>
            <w:shd w:fill="1B2A6B" w:val="clear"/>
            <w:tcMar>
              <w:top w:type="dxa" w:w="100"/>
              <w:left w:type="dxa" w:w="120"/>
              <w:bottom w:type="dxa" w:w="100"/>
              <w:right w:type="dxa" w:w="120"/>
            </w:tcMar>
          </w:tcPr>
          <w:p>
            <w:r>
              <w:rPr>
                <w:rFonts w:ascii="Arial" w:cs="Arial" w:eastAsia="Arial" w:hAnsi="Arial"/>
                <w:b/>
                <w:bCs/>
                <w:color w:val="FFFFFF"/>
                <w:sz w:val="20"/>
                <w:szCs w:val="20"/>
              </w:rPr>
              <w:t xml:space="preserve">Définition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Blockchain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Registre numérique décentralisé, public et immuable. Chaque entrée est permanente et vérifiable par tous.</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sz w:val="20"/>
                <w:szCs w:val="20"/>
              </w:rPr>
              <w:t xml:space="preserve">Cour des Comptes CI</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sz w:val="20"/>
                <w:szCs w:val="20"/>
              </w:rPr>
              <w:t xml:space="preserve">Institution Supérieure de Contrôle des finances publiques en Côte d'Ivoire. Opérationnelle depuis janvier 2018.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DGF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Dotation Globale de Fonctionnement — transfert financier annuel de l'État vers les communes.</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sz w:val="20"/>
                <w:szCs w:val="20"/>
              </w:rPr>
              <w:t xml:space="preserve">FIAU</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sz w:val="20"/>
                <w:szCs w:val="20"/>
              </w:rPr>
              <w:t xml:space="preserve">Fonds d'Investissement et d'Aménagement Urbain — mécanisme de financement des investissements communaux.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IBP / OBI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International Budget Partnership / Open Budget Index — enquête annuelle sur la transparence budgétaire nationale.</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sz w:val="20"/>
                <w:szCs w:val="20"/>
              </w:rPr>
              <w:t xml:space="preserve">OGP</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sz w:val="20"/>
                <w:szCs w:val="20"/>
              </w:rPr>
              <w:t xml:space="preserve">Open Government Partnership — partenariat international pour la gouvernance ouverte. La CI est membre depuis 2015.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PEFA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Public Expenditure and Financial Accountability — méthodologie internationale d'évaluation des systèmes de finances publiques.</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sz w:val="20"/>
                <w:szCs w:val="20"/>
              </w:rPr>
              <w:t xml:space="preserve">SIGESCOD</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sz w:val="20"/>
                <w:szCs w:val="20"/>
              </w:rPr>
              <w:t xml:space="preserve">Système de Gestion des Collectivités Décentralisées — outil interne de gestion budgétaire communale en Côte d'Ivoire.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UEMOA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Union Économique et Monétaire Ouest-Africaine — les directives UEMOA fixent les standards de gestion des finances publiques.</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sz w:val="20"/>
                <w:szCs w:val="20"/>
              </w:rPr>
              <w:t xml:space="preserve">UVICOCI</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left"/>
            </w:pPr>
            <w:r>
              <w:rPr>
                <w:rFonts w:ascii="Arial" w:cs="Arial" w:eastAsia="Arial" w:hAnsi="Arial"/>
                <w:sz w:val="20"/>
                <w:szCs w:val="20"/>
              </w:rPr>
              <w:t xml:space="preserve">Union des Villes et Communes de Côte d'Ivoire — organisation représentative des communes ivoiriennes.</w:t>
            </w:r>
          </w:p>
        </w:tc>
      </w:tr>
    </w:tbl>
    <w:p>
      <w:r>
        <w:br w:type="page"/>
      </w:r>
    </w:p>
    <w:p>
      <w:pPr>
        <w:pStyle w:val="Heading1"/>
        <w:spacing w:after="200" w:before="360"/>
      </w:pPr>
      <w:r>
        <w:rPr>
          <w:rFonts w:ascii="Arial" w:cs="Arial" w:eastAsia="Arial" w:hAnsi="Arial"/>
          <w:b/>
          <w:bCs/>
          <w:color w:val="1B2A6B"/>
          <w:sz w:val="28"/>
          <w:szCs w:val="28"/>
        </w:rPr>
        <w:t xml:space="preserve">BIBLIOGRAPHIE</w:t>
      </w:r>
    </w:p>
    <w:p>
      <w:pPr>
        <w:pBdr>
          <w:bottom w:val="single" w:color="1B2A6B" w:sz="8" w:space="1"/>
        </w:pBdr>
        <w:spacing w:after="160" w:before="0"/>
      </w:pPr>
    </w:p>
    <w:p>
      <w:pPr>
        <w:pStyle w:val="Heading2"/>
        <w:spacing w:after="160" w:before="280"/>
      </w:pPr>
      <w:r>
        <w:rPr>
          <w:rFonts w:ascii="Arial" w:cs="Arial" w:eastAsia="Arial" w:hAnsi="Arial"/>
          <w:b/>
          <w:bCs/>
          <w:color w:val="1B2A6B"/>
          <w:sz w:val="24"/>
          <w:szCs w:val="24"/>
        </w:rPr>
        <w:t xml:space="preserve">I. Rapports officiels et institutionnels</w:t>
      </w:r>
    </w:p>
    <w:p>
      <w:pPr>
        <w:pStyle w:val="ListParagraph"/>
        <w:numPr>
          <w:ilvl w:val="0"/>
          <w:numId w:val="2"/>
        </w:numPr>
        <w:spacing w:after="60" w:before="60"/>
      </w:pPr>
      <w:r>
        <w:rPr>
          <w:rFonts w:ascii="Arial" w:cs="Arial" w:eastAsia="Arial" w:hAnsi="Arial"/>
          <w:sz w:val="22"/>
          <w:szCs w:val="22"/>
        </w:rPr>
        <w:t xml:space="preserve">Cour des Comptes de Côte d'Ivoire. Rapports définitifs sur l'exécution de la Loi de Finances pour les exercices 2014, 2015, 2016, 2017, 2020, 2021, 2022. Disponibles sur www.courdescomptes.ci</w:t>
      </w:r>
    </w:p>
    <w:p>
      <w:pPr>
        <w:pStyle w:val="ListParagraph"/>
        <w:numPr>
          <w:ilvl w:val="0"/>
          <w:numId w:val="2"/>
        </w:numPr>
        <w:spacing w:after="60" w:before="60"/>
      </w:pPr>
      <w:r>
        <w:rPr>
          <w:rFonts w:ascii="Arial" w:cs="Arial" w:eastAsia="Arial" w:hAnsi="Arial"/>
          <w:sz w:val="22"/>
          <w:szCs w:val="22"/>
        </w:rPr>
        <w:t xml:space="preserve">Cour des Comptes de Côte d'Ivoire. Rapport annuel 2023 présenté à l'Assemblée Nationale, novembre 2024. www.courdescomptes.ci</w:t>
      </w:r>
    </w:p>
    <w:p>
      <w:pPr>
        <w:pStyle w:val="ListParagraph"/>
        <w:numPr>
          <w:ilvl w:val="0"/>
          <w:numId w:val="2"/>
        </w:numPr>
        <w:spacing w:after="60" w:before="60"/>
      </w:pPr>
      <w:r>
        <w:rPr>
          <w:rFonts w:ascii="Arial" w:cs="Arial" w:eastAsia="Arial" w:hAnsi="Arial"/>
          <w:sz w:val="22"/>
          <w:szCs w:val="22"/>
        </w:rPr>
        <w:t xml:space="preserve">International Budget Partnership (IBP). Open Budget Survey 2023 — Côte d'Ivoire. Score de transparence : 54/100. Score de participation publique : 4/100. internationalbudget.org</w:t>
      </w:r>
    </w:p>
    <w:p>
      <w:pPr>
        <w:pStyle w:val="ListParagraph"/>
        <w:numPr>
          <w:ilvl w:val="0"/>
          <w:numId w:val="2"/>
        </w:numPr>
        <w:spacing w:after="60" w:before="60"/>
      </w:pPr>
      <w:r>
        <w:rPr>
          <w:rFonts w:ascii="Arial" w:cs="Arial" w:eastAsia="Arial" w:hAnsi="Arial"/>
          <w:sz w:val="22"/>
          <w:szCs w:val="22"/>
        </w:rPr>
        <w:t xml:space="preserve">IBP. Open Budget Survey 2023 Data Tables — série historique 2012-2023, Côte d'Ivoire. internationalbudget.org</w:t>
      </w:r>
    </w:p>
    <w:p>
      <w:pPr>
        <w:pStyle w:val="ListParagraph"/>
        <w:numPr>
          <w:ilvl w:val="0"/>
          <w:numId w:val="2"/>
        </w:numPr>
        <w:spacing w:after="60" w:before="60"/>
      </w:pPr>
      <w:r>
        <w:rPr>
          <w:rFonts w:ascii="Arial" w:cs="Arial" w:eastAsia="Arial" w:hAnsi="Arial"/>
          <w:sz w:val="22"/>
          <w:szCs w:val="22"/>
        </w:rPr>
        <w:t xml:space="preserve">Open Government Partnership. Plan d'Action de la Côte d'Ivoire 2024-2026. Engagements CI-0026 (Budget participatif) et CI-0027 (Participation citoyenne). opengovpartnership.org</w:t>
      </w:r>
    </w:p>
    <w:p>
      <w:pPr>
        <w:pStyle w:val="ListParagraph"/>
        <w:numPr>
          <w:ilvl w:val="0"/>
          <w:numId w:val="2"/>
        </w:numPr>
        <w:spacing w:after="60" w:before="60"/>
      </w:pPr>
      <w:r>
        <w:rPr>
          <w:rFonts w:ascii="Arial" w:cs="Arial" w:eastAsia="Arial" w:hAnsi="Arial"/>
          <w:sz w:val="22"/>
          <w:szCs w:val="22"/>
        </w:rPr>
        <w:t xml:space="preserve">Ministère du Budget et du Portefeuille de l'État (CI). Loi de Finances n° 2023-1000 du 18 décembre 2023 portant Budget de l'État 2024. budget.gouv.ci</w:t>
      </w:r>
    </w:p>
    <w:p>
      <w:pPr>
        <w:pStyle w:val="ListParagraph"/>
        <w:numPr>
          <w:ilvl w:val="0"/>
          <w:numId w:val="2"/>
        </w:numPr>
        <w:spacing w:after="60" w:before="60"/>
      </w:pPr>
      <w:r>
        <w:rPr>
          <w:rFonts w:ascii="Arial" w:cs="Arial" w:eastAsia="Arial" w:hAnsi="Arial"/>
          <w:sz w:val="22"/>
          <w:szCs w:val="22"/>
        </w:rPr>
        <w:t xml:space="preserve">UVICOCI. Données budgétaires consolidées des collectivités territoriales ivoiriennes, 2022.</w:t>
      </w:r>
    </w:p>
    <w:p>
      <w:pPr>
        <w:spacing w:after="80" w:before="0"/>
      </w:pPr>
    </w:p>
    <w:p>
      <w:pPr>
        <w:pStyle w:val="Heading2"/>
        <w:spacing w:after="160" w:before="280"/>
      </w:pPr>
      <w:r>
        <w:rPr>
          <w:rFonts w:ascii="Arial" w:cs="Arial" w:eastAsia="Arial" w:hAnsi="Arial"/>
          <w:b/>
          <w:bCs/>
          <w:color w:val="1B2A6B"/>
          <w:sz w:val="24"/>
          <w:szCs w:val="24"/>
        </w:rPr>
        <w:t xml:space="preserve">II. Textes de loi et décrets ivoiriens</w:t>
      </w:r>
    </w:p>
    <w:p>
      <w:pPr>
        <w:pStyle w:val="ListParagraph"/>
        <w:numPr>
          <w:ilvl w:val="0"/>
          <w:numId w:val="2"/>
        </w:numPr>
        <w:spacing w:after="60" w:before="60"/>
      </w:pPr>
      <w:r>
        <w:rPr>
          <w:rFonts w:ascii="Arial" w:cs="Arial" w:eastAsia="Arial" w:hAnsi="Arial"/>
          <w:sz w:val="22"/>
          <w:szCs w:val="22"/>
        </w:rPr>
        <w:t xml:space="preserve">Loi n° 2020-885 du 21 octobre 2020 portant régime financier des Collectivités territoriales et des Districts autonomes. Journal Officiel de la République de Côte d'Ivoire.</w:t>
      </w:r>
    </w:p>
    <w:p>
      <w:pPr>
        <w:pStyle w:val="ListParagraph"/>
        <w:numPr>
          <w:ilvl w:val="0"/>
          <w:numId w:val="2"/>
        </w:numPr>
        <w:spacing w:after="60" w:before="60"/>
      </w:pPr>
      <w:r>
        <w:rPr>
          <w:rFonts w:ascii="Arial" w:cs="Arial" w:eastAsia="Arial" w:hAnsi="Arial"/>
          <w:sz w:val="22"/>
          <w:szCs w:val="22"/>
        </w:rPr>
        <w:t xml:space="preserve">Loi Organique n° 2018-979 du 27 décembre 2018 déterminant les attributions, la composition, l'organisation et le fonctionnement de la Cour des Comptes.</w:t>
      </w:r>
    </w:p>
    <w:p>
      <w:pPr>
        <w:pStyle w:val="ListParagraph"/>
        <w:numPr>
          <w:ilvl w:val="0"/>
          <w:numId w:val="2"/>
        </w:numPr>
        <w:spacing w:after="60" w:before="60"/>
      </w:pPr>
      <w:r>
        <w:rPr>
          <w:rFonts w:ascii="Arial" w:cs="Arial" w:eastAsia="Arial" w:hAnsi="Arial"/>
          <w:sz w:val="22"/>
          <w:szCs w:val="22"/>
        </w:rPr>
        <w:t xml:space="preserve">Loi n° 2014-451 du 5 août 2014 portant orientation de l'organisation générale de l'administration territoriale.</w:t>
      </w:r>
    </w:p>
    <w:p>
      <w:pPr>
        <w:pStyle w:val="ListParagraph"/>
        <w:numPr>
          <w:ilvl w:val="0"/>
          <w:numId w:val="2"/>
        </w:numPr>
        <w:spacing w:after="60" w:before="60"/>
      </w:pPr>
      <w:r>
        <w:rPr>
          <w:rFonts w:ascii="Arial" w:cs="Arial" w:eastAsia="Arial" w:hAnsi="Arial"/>
          <w:sz w:val="22"/>
          <w:szCs w:val="22"/>
        </w:rPr>
        <w:t xml:space="preserve">Loi Organique n° 2014-337 du 5 juin 2014 portant Code de Transparence dans la gestion des finances publiques.</w:t>
      </w:r>
    </w:p>
    <w:p>
      <w:pPr>
        <w:pStyle w:val="ListParagraph"/>
        <w:numPr>
          <w:ilvl w:val="0"/>
          <w:numId w:val="2"/>
        </w:numPr>
        <w:spacing w:after="60" w:before="60"/>
      </w:pPr>
      <w:r>
        <w:rPr>
          <w:rFonts w:ascii="Arial" w:cs="Arial" w:eastAsia="Arial" w:hAnsi="Arial"/>
          <w:sz w:val="22"/>
          <w:szCs w:val="22"/>
        </w:rPr>
        <w:t xml:space="preserve">Constitution de la République de Côte d'Ivoire du 1er août 2000 (révisée en 2016) — Article 152 sur les attributions de la Cour des Comptes.</w:t>
      </w:r>
    </w:p>
    <w:p>
      <w:pPr>
        <w:spacing w:after="80" w:before="0"/>
      </w:pPr>
    </w:p>
    <w:p>
      <w:pPr>
        <w:pStyle w:val="Heading2"/>
        <w:spacing w:after="160" w:before="280"/>
      </w:pPr>
      <w:r>
        <w:rPr>
          <w:rFonts w:ascii="Arial" w:cs="Arial" w:eastAsia="Arial" w:hAnsi="Arial"/>
          <w:b/>
          <w:bCs/>
          <w:color w:val="1B2A6B"/>
          <w:sz w:val="24"/>
          <w:szCs w:val="24"/>
        </w:rPr>
        <w:t xml:space="preserve">III. Études académiques et recherches</w:t>
      </w:r>
    </w:p>
    <w:p>
      <w:pPr>
        <w:pStyle w:val="ListParagraph"/>
        <w:numPr>
          <w:ilvl w:val="0"/>
          <w:numId w:val="2"/>
        </w:numPr>
        <w:spacing w:after="60" w:before="60"/>
      </w:pPr>
      <w:r>
        <w:rPr>
          <w:rFonts w:ascii="Arial" w:cs="Arial" w:eastAsia="Arial" w:hAnsi="Arial"/>
          <w:sz w:val="22"/>
          <w:szCs w:val="22"/>
        </w:rPr>
        <w:t xml:space="preserve">IAR Journal of Humanities and Social Science (2021). 'La Décentralisation et la Pratique de la Gouvernance Locale en Côte d'Ivoire : Cas des Communes d'Alépe, Bouaké et de Guiglo'. Vol. 2, n°6. DOI : doi.org/10.47310/iarjhss</w:t>
      </w:r>
    </w:p>
    <w:p>
      <w:pPr>
        <w:pStyle w:val="ListParagraph"/>
        <w:numPr>
          <w:ilvl w:val="0"/>
          <w:numId w:val="2"/>
        </w:numPr>
        <w:spacing w:after="60" w:before="60"/>
      </w:pPr>
      <w:r>
        <w:rPr>
          <w:rFonts w:ascii="Arial" w:cs="Arial" w:eastAsia="Arial" w:hAnsi="Arial"/>
          <w:sz w:val="22"/>
          <w:szCs w:val="22"/>
        </w:rPr>
        <w:t xml:space="preserve">Académie de Bordeaux — Afrilex. 'L'autonomie financière des collectivités territoriales en Afrique noire francophone — le cas du Cameroun, de la Côte d'Ivoire, du Gabon et du Sénégal'. Étude comparative.</w:t>
      </w:r>
    </w:p>
    <w:p>
      <w:pPr>
        <w:pStyle w:val="ListParagraph"/>
        <w:numPr>
          <w:ilvl w:val="0"/>
          <w:numId w:val="2"/>
        </w:numPr>
        <w:spacing w:after="60" w:before="60"/>
      </w:pPr>
      <w:r>
        <w:rPr>
          <w:rFonts w:ascii="Arial" w:cs="Arial" w:eastAsia="Arial" w:hAnsi="Arial"/>
          <w:sz w:val="22"/>
          <w:szCs w:val="22"/>
        </w:rPr>
        <w:t xml:space="preserve">Cairn.info (2015). 'Construction, reconstruction territoriale et décentralisation en Côte d'Ivoire (2002-2009)'. Revue Espaces et Sociétés, n°160.</w:t>
      </w:r>
    </w:p>
    <w:p>
      <w:pPr>
        <w:pStyle w:val="ListParagraph"/>
        <w:numPr>
          <w:ilvl w:val="0"/>
          <w:numId w:val="2"/>
        </w:numPr>
        <w:spacing w:after="60" w:before="60"/>
      </w:pPr>
      <w:r>
        <w:rPr>
          <w:rFonts w:ascii="Arial" w:cs="Arial" w:eastAsia="Arial" w:hAnsi="Arial"/>
          <w:sz w:val="22"/>
          <w:szCs w:val="22"/>
        </w:rPr>
        <w:t xml:space="preserve">Banque Mondiale. Rapport sur la gouvernance locale en Afrique sub-saharienne, 2022. Documents de travail sur la transparence et la confiance citoyenne.</w:t>
      </w:r>
    </w:p>
    <w:p>
      <w:pPr>
        <w:spacing w:after="80" w:before="0"/>
      </w:pPr>
    </w:p>
    <w:p>
      <w:pPr>
        <w:pStyle w:val="Heading2"/>
        <w:spacing w:after="160" w:before="280"/>
      </w:pPr>
      <w:r>
        <w:rPr>
          <w:rFonts w:ascii="Arial" w:cs="Arial" w:eastAsia="Arial" w:hAnsi="Arial"/>
          <w:b/>
          <w:bCs/>
          <w:color w:val="1B2A6B"/>
          <w:sz w:val="24"/>
          <w:szCs w:val="24"/>
        </w:rPr>
        <w:t xml:space="preserve">IV. Articles de presse et médias</w:t>
      </w:r>
    </w:p>
    <w:p>
      <w:pPr>
        <w:pStyle w:val="ListParagraph"/>
        <w:numPr>
          <w:ilvl w:val="0"/>
          <w:numId w:val="2"/>
        </w:numPr>
        <w:spacing w:after="60" w:before="60"/>
      </w:pPr>
      <w:r>
        <w:rPr>
          <w:rFonts w:ascii="Arial" w:cs="Arial" w:eastAsia="Arial" w:hAnsi="Arial"/>
          <w:sz w:val="22"/>
          <w:szCs w:val="22"/>
        </w:rPr>
        <w:t xml:space="preserve">Agence Anadolu (AA). 'Côte d'Ivoire : plusieurs ministères épinglés par un rapport de la Cour des comptes'. Analyse du rapport sur l'exécution du budget 2022. aa.com.tr</w:t>
      </w:r>
    </w:p>
    <w:p>
      <w:pPr>
        <w:pStyle w:val="ListParagraph"/>
        <w:numPr>
          <w:ilvl w:val="0"/>
          <w:numId w:val="2"/>
        </w:numPr>
        <w:spacing w:after="60" w:before="60"/>
      </w:pPr>
      <w:r>
        <w:rPr>
          <w:rFonts w:ascii="Arial" w:cs="Arial" w:eastAsia="Arial" w:hAnsi="Arial"/>
          <w:sz w:val="22"/>
          <w:szCs w:val="22"/>
        </w:rPr>
        <w:t xml:space="preserve">Connection Ivoirienne (janvier 2024). 'Rapport de la Cour des Comptes / Graves dérapages constatés : Des mécanismes de reddition de comptes plus robustes doivent être instaurés'. connectionivoirienne.net</w:t>
      </w:r>
    </w:p>
    <w:p>
      <w:pPr>
        <w:pStyle w:val="ListParagraph"/>
        <w:numPr>
          <w:ilvl w:val="0"/>
          <w:numId w:val="2"/>
        </w:numPr>
        <w:spacing w:after="60" w:before="60"/>
      </w:pPr>
      <w:r>
        <w:rPr>
          <w:rFonts w:ascii="Arial" w:cs="Arial" w:eastAsia="Arial" w:hAnsi="Arial"/>
          <w:sz w:val="22"/>
          <w:szCs w:val="22"/>
        </w:rPr>
        <w:t xml:space="preserve">Afrik Soir (avril 2026). 'Mairies, régions, districts ivoiriens : Le fiasco de la politique de décentralisation de Ouattara'. Analyse sur les ressources communales.</w:t>
      </w:r>
    </w:p>
    <w:p>
      <w:pPr>
        <w:pStyle w:val="ListParagraph"/>
        <w:numPr>
          <w:ilvl w:val="0"/>
          <w:numId w:val="2"/>
        </w:numPr>
        <w:spacing w:after="60" w:before="60"/>
      </w:pPr>
      <w:r>
        <w:rPr>
          <w:rFonts w:ascii="Arial" w:cs="Arial" w:eastAsia="Arial" w:hAnsi="Arial"/>
          <w:sz w:val="22"/>
          <w:szCs w:val="22"/>
        </w:rPr>
        <w:t xml:space="preserve">Pulse Côte d'Ivoire. 'Voici ce qu'il faut savoir sur la Cour des Comptes ivoirienne'. pulse.ci</w:t>
      </w:r>
    </w:p>
    <w:p>
      <w:pPr>
        <w:pStyle w:val="ListParagraph"/>
        <w:numPr>
          <w:ilvl w:val="0"/>
          <w:numId w:val="2"/>
        </w:numPr>
        <w:spacing w:after="60" w:before="60"/>
      </w:pPr>
      <w:r>
        <w:rPr>
          <w:rFonts w:ascii="Arial" w:cs="Arial" w:eastAsia="Arial" w:hAnsi="Arial"/>
          <w:sz w:val="22"/>
          <w:szCs w:val="22"/>
        </w:rPr>
        <w:t xml:space="preserve">Villes et Communes Afrique. 'Côte d'Ivoire : Harmonisation de la loi sur la Décentralisation'. Août 2020.</w:t>
      </w:r>
    </w:p>
    <w:p>
      <w:pPr>
        <w:spacing w:after="80" w:before="0"/>
      </w:pPr>
    </w:p>
    <w:p>
      <w:pPr>
        <w:pStyle w:val="Heading2"/>
        <w:spacing w:after="160" w:before="280"/>
      </w:pPr>
      <w:r>
        <w:rPr>
          <w:rFonts w:ascii="Arial" w:cs="Arial" w:eastAsia="Arial" w:hAnsi="Arial"/>
          <w:b/>
          <w:bCs/>
          <w:color w:val="1B2A6B"/>
          <w:sz w:val="24"/>
          <w:szCs w:val="24"/>
        </w:rPr>
        <w:t xml:space="preserve">V. Sources internationales</w:t>
      </w:r>
    </w:p>
    <w:p>
      <w:pPr>
        <w:pStyle w:val="ListParagraph"/>
        <w:numPr>
          <w:ilvl w:val="0"/>
          <w:numId w:val="2"/>
        </w:numPr>
        <w:spacing w:after="60" w:before="60"/>
      </w:pPr>
      <w:r>
        <w:rPr>
          <w:rFonts w:ascii="Arial" w:cs="Arial" w:eastAsia="Arial" w:hAnsi="Arial"/>
          <w:sz w:val="22"/>
          <w:szCs w:val="22"/>
        </w:rPr>
        <w:t xml:space="preserve">Agence Française de Développement (AFD). 'Moderniser les finances de l'État pour améliorer l'offre de services publics en Côte d'Ivoire.' Programme PEFA, Abidjan, octobre 2024. afd.fr</w:t>
      </w:r>
    </w:p>
    <w:p>
      <w:pPr>
        <w:pStyle w:val="ListParagraph"/>
        <w:numPr>
          <w:ilvl w:val="0"/>
          <w:numId w:val="2"/>
        </w:numPr>
        <w:spacing w:after="60" w:before="60"/>
      </w:pPr>
      <w:r>
        <w:rPr>
          <w:rFonts w:ascii="Arial" w:cs="Arial" w:eastAsia="Arial" w:hAnsi="Arial"/>
          <w:sz w:val="22"/>
          <w:szCs w:val="22"/>
        </w:rPr>
        <w:t xml:space="preserve">Banque Mondiale. Rapports sur la gestion des finances publiques en Afrique subsaharienne. worldbank.org</w:t>
      </w:r>
    </w:p>
    <w:p>
      <w:pPr>
        <w:pStyle w:val="ListParagraph"/>
        <w:numPr>
          <w:ilvl w:val="0"/>
          <w:numId w:val="2"/>
        </w:numPr>
        <w:spacing w:after="60" w:before="60"/>
      </w:pPr>
      <w:r>
        <w:rPr>
          <w:rFonts w:ascii="Arial" w:cs="Arial" w:eastAsia="Arial" w:hAnsi="Arial"/>
          <w:sz w:val="22"/>
          <w:szCs w:val="22"/>
        </w:rPr>
        <w:t xml:space="preserve">PNUD. Rapport sur le développement humain — Côte d'Ivoire. undp.org</w:t>
      </w:r>
    </w:p>
    <w:p>
      <w:pPr>
        <w:pStyle w:val="ListParagraph"/>
        <w:numPr>
          <w:ilvl w:val="0"/>
          <w:numId w:val="2"/>
        </w:numPr>
        <w:spacing w:after="60" w:before="60"/>
      </w:pPr>
      <w:r>
        <w:rPr>
          <w:rFonts w:ascii="Arial" w:cs="Arial" w:eastAsia="Arial" w:hAnsi="Arial"/>
          <w:sz w:val="22"/>
          <w:szCs w:val="22"/>
        </w:rPr>
        <w:t xml:space="preserve">Union Africaine. Cadre pour la gouvernance locale et la décentralisation en Afrique. au.int</w:t>
      </w:r>
    </w:p>
    <w:p>
      <w:pPr>
        <w:spacing w:after="80" w:before="0"/>
      </w:pPr>
    </w:p>
    <w:p>
      <w:pPr>
        <w:pStyle w:val="Heading2"/>
        <w:spacing w:after="160" w:before="280"/>
      </w:pPr>
      <w:r>
        <w:rPr>
          <w:rFonts w:ascii="Arial" w:cs="Arial" w:eastAsia="Arial" w:hAnsi="Arial"/>
          <w:b/>
          <w:bCs/>
          <w:color w:val="1B2A6B"/>
          <w:sz w:val="24"/>
          <w:szCs w:val="24"/>
        </w:rPr>
        <w:t xml:space="preserve">VI. Sources du projet</w:t>
      </w:r>
    </w:p>
    <w:p>
      <w:pPr>
        <w:pStyle w:val="ListParagraph"/>
        <w:numPr>
          <w:ilvl w:val="0"/>
          <w:numId w:val="2"/>
        </w:numPr>
        <w:spacing w:after="60" w:before="60"/>
      </w:pPr>
      <w:r>
        <w:rPr>
          <w:rFonts w:ascii="Arial" w:cs="Arial" w:eastAsia="Arial" w:hAnsi="Arial"/>
          <w:sz w:val="22"/>
          <w:szCs w:val="22"/>
        </w:rPr>
        <w:t xml:space="preserve">MIABE Hackathon 2026. 'Cadre de Référence — Darollo Technologies Corporation'. Fiche projet CI-01 BudgetOuvert, D08 — Gouvernance locale &amp; Transparence budgétaire. </w:t>
      </w:r>
      <w:r>
        <w:rPr>
          <w:rStyle w:val="FootnoteReference"/>
        </w:rPr>
        <w:footnoteReference w:id="11"/>
      </w:r>
    </w:p>
    <w:p>
      <w:pPr>
        <w:pStyle w:val="ListParagraph"/>
        <w:numPr>
          <w:ilvl w:val="0"/>
          <w:numId w:val="2"/>
        </w:numPr>
        <w:spacing w:after="60" w:before="60"/>
      </w:pPr>
      <w:r>
        <w:rPr>
          <w:rFonts w:ascii="Arial" w:cs="Arial" w:eastAsia="Arial" w:hAnsi="Arial"/>
          <w:sz w:val="22"/>
          <w:szCs w:val="22"/>
        </w:rPr>
        <w:t xml:space="preserve">BudgetOuvert CI-01. Documentation interne d'équipe — Phase 1 : Présélection. Avril 2026.</w:t>
      </w:r>
    </w:p>
    <w:sectPr>
      <w:headerReference w:type="default" r:id="rId11"/>
      <w:footerReference w:type="default" r:id="rId12"/>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681E" w:sz="4" w:space="1"/>
      </w:pBdr>
      <w:tabs>
        <w:tab w:val="right" w:pos="9026"/>
      </w:tabs>
      <w:spacing w:after="0" w:before="80"/>
    </w:pPr>
    <w:r>
      <w:rPr>
        <w:rFonts w:ascii="Arial" w:cs="Arial" w:eastAsia="Arial" w:hAnsi="Arial"/>
        <w:color w:val="6B7280"/>
        <w:sz w:val="16"/>
        <w:szCs w:val="16"/>
      </w:rPr>
      <w:t xml:space="preserve">Opacité Budgétaire dans les Communes Ivoiriennes  —  Phase 1, Présélection  —  Avril 2026</w:t>
    </w:r>
    <w:r>
      <w:rPr>
        <w:rFonts w:ascii="Arial" w:cs="Arial" w:eastAsia="Arial" w:hAnsi="Arial"/>
        <w:sz w:val="16"/>
        <w:szCs w:val="16"/>
      </w:rPr>
      <w:t xml:space="preserve">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681E" w:sz="4" w:space="1"/>
      </w:pBdr>
      <w:tabs>
        <w:tab w:val="right" w:pos="9026"/>
      </w:tabs>
      <w:spacing w:after="0" w:before="80"/>
    </w:pPr>
    <w:r>
      <w:rPr>
        <w:rFonts w:ascii="Arial" w:cs="Arial" w:eastAsia="Arial" w:hAnsi="Arial"/>
        <w:color w:val="6B7280"/>
        <w:sz w:val="16"/>
        <w:szCs w:val="16"/>
      </w:rPr>
      <w:t xml:space="preserve">Opacité Budgétaire dans les Communes Ivoiriennes  —  Phase 1, Présélection  —  Avril 2026</w:t>
    </w:r>
    <w:r>
      <w:rPr>
        <w:rFonts w:ascii="Arial" w:cs="Arial" w:eastAsia="Arial" w:hAnsi="Arial"/>
        <w:sz w:val="16"/>
        <w:szCs w:val="16"/>
      </w:rPr>
      <w:t xml:space="preserve">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681E" w:sz="4" w:space="1"/>
      </w:pBdr>
      <w:tabs>
        <w:tab w:val="right" w:pos="9026"/>
      </w:tabs>
      <w:spacing w:after="0" w:before="80"/>
    </w:pPr>
    <w:r>
      <w:rPr>
        <w:rFonts w:ascii="Arial" w:cs="Arial" w:eastAsia="Arial" w:hAnsi="Arial"/>
        <w:color w:val="6B7280"/>
        <w:sz w:val="16"/>
        <w:szCs w:val="16"/>
      </w:rPr>
      <w:t xml:space="preserve">Opacité Budgétaire dans les Communes Ivoiriennes  —  Phase 1, Présélection  —  Avril 2026</w:t>
    </w:r>
    <w:r>
      <w:rPr>
        <w:rFonts w:ascii="Arial" w:cs="Arial" w:eastAsia="Arial" w:hAnsi="Arial"/>
        <w:sz w:val="16"/>
        <w:szCs w:val="16"/>
      </w:rPr>
      <w:t xml:space="preserve">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Arial" w:cs="Arial" w:eastAsia="Arial" w:hAnsi="Arial"/>
          <w:sz w:val="18"/>
          <w:szCs w:val="18"/>
        </w:rPr>
        <w:t xml:space="preserve">Source : UVICOCI (Union des Villes et Communes de Côte d'Ivoire) / Ministère de l'Intérieur et de la Sécurité. Données budgétaires consolidées des collectivités territoriales, 2022.</w:t>
      </w:r>
    </w:p>
  </w:footnote>
  <w:footnote w:id="2">
    <w:p>
      <w:r>
        <w:rPr>
          <w:rStyle w:val="FootnoteReference"/>
        </w:rPr>
        <w:footnoteRef/>
      </w:r>
      <w:r>
        <w:rPr>
          <w:rFonts w:ascii="Arial" w:cs="Arial" w:eastAsia="Arial" w:hAnsi="Arial"/>
          <w:sz w:val="18"/>
          <w:szCs w:val="18"/>
        </w:rPr>
        <w:t xml:space="preserve">Source : International Budget Partnership (IBP). Open Budget Survey 2023 — Côte d'Ivoire. Score global : 54/100. Score de participation publique : 4/100. Disponible sur internationalbudget.org</w:t>
      </w:r>
    </w:p>
  </w:footnote>
  <w:footnote w:id="3">
    <w:p>
      <w:r>
        <w:rPr>
          <w:rStyle w:val="FootnoteReference"/>
        </w:rPr>
        <w:footnoteRef/>
      </w:r>
      <w:r>
        <w:rPr>
          <w:rFonts w:ascii="Arial" w:cs="Arial" w:eastAsia="Arial" w:hAnsi="Arial"/>
          <w:sz w:val="18"/>
          <w:szCs w:val="18"/>
        </w:rPr>
        <w:t xml:space="preserve">Source : Cour des Comptes de Côte d'Ivoire. Rapports annuels sur l'exécution de la Loi de Finances (2018–2022). Disponibles sur www.courdescomptes.ci</w:t>
      </w:r>
    </w:p>
  </w:footnote>
  <w:footnote w:id="4">
    <w:p>
      <w:r>
        <w:rPr>
          <w:rStyle w:val="FootnoteReference"/>
        </w:rPr>
        <w:footnoteRef/>
      </w:r>
      <w:r>
        <w:rPr>
          <w:rFonts w:ascii="Arial" w:cs="Arial" w:eastAsia="Arial" w:hAnsi="Arial"/>
          <w:sz w:val="18"/>
          <w:szCs w:val="18"/>
        </w:rPr>
        <w:t xml:space="preserve">Note méthodologique : Le score de 36/100 mentionné dans le cahier des charges du projet correspond à l'édition IBP 2021. L'édition 2023 indique 54/100 pour le niveau central. Aucune donnée systématique n'existe sur la transparence communale spécifique.</w:t>
      </w:r>
    </w:p>
  </w:footnote>
  <w:footnote w:id="5">
    <w:p>
      <w:r>
        <w:rPr>
          <w:rStyle w:val="FootnoteReference"/>
        </w:rPr>
        <w:footnoteRef/>
      </w:r>
      <w:r>
        <w:rPr>
          <w:rFonts w:ascii="Arial" w:cs="Arial" w:eastAsia="Arial" w:hAnsi="Arial"/>
          <w:sz w:val="18"/>
          <w:szCs w:val="18"/>
        </w:rPr>
        <w:t xml:space="preserve">Source : IAR Journal of Humanities and Social Science (2021). 'La Décentralisation et la Pratique de la Gouvernance Locale en Côte d'Ivoire : Cas des Communes d'Alépe, Bouaké et de Guiglo'. Vol. 2, n°6. DOI : doi.org/10.47310/iarjhss</w:t>
      </w:r>
    </w:p>
  </w:footnote>
  <w:footnote w:id="6">
    <w:p>
      <w:r>
        <w:rPr>
          <w:rStyle w:val="FootnoteReference"/>
        </w:rPr>
        <w:footnoteRef/>
      </w:r>
      <w:r>
        <w:rPr>
          <w:rFonts w:ascii="Arial" w:cs="Arial" w:eastAsia="Arial" w:hAnsi="Arial"/>
          <w:sz w:val="18"/>
          <w:szCs w:val="18"/>
        </w:rPr>
        <w:t xml:space="preserve">Source : Afrik Soir (avril 2026). 'Mairies, régions, districts ivoiriens : Le fiasco de la politique de décentralisation de Ouattara'. Analyse sur les ressources de la commune de Man.</w:t>
      </w:r>
    </w:p>
  </w:footnote>
  <w:footnote w:id="7">
    <w:p>
      <w:r>
        <w:rPr>
          <w:rStyle w:val="FootnoteReference"/>
        </w:rPr>
        <w:footnoteRef/>
      </w:r>
      <w:r>
        <w:rPr>
          <w:rFonts w:ascii="Arial" w:cs="Arial" w:eastAsia="Arial" w:hAnsi="Arial"/>
          <w:sz w:val="18"/>
          <w:szCs w:val="18"/>
        </w:rPr>
        <w:t xml:space="preserve">Source : Cour des Comptes de Côte d'Ivoire. Rapport Définitif sur l'Exécution de la Loi de Finances pour l'année 2022. Remis au Président de la République. www.courdescomptes.ci</w:t>
      </w:r>
    </w:p>
  </w:footnote>
  <w:footnote w:id="8">
    <w:p>
      <w:r>
        <w:rPr>
          <w:rStyle w:val="FootnoteReference"/>
        </w:rPr>
        <w:footnoteRef/>
      </w:r>
      <w:r>
        <w:rPr>
          <w:rFonts w:ascii="Arial" w:cs="Arial" w:eastAsia="Arial" w:hAnsi="Arial"/>
          <w:sz w:val="18"/>
          <w:szCs w:val="18"/>
        </w:rPr>
        <w:t xml:space="preserve">Source : Connection Ivoirienne (janvier 2024). 'Rapport de la Cour des Comptes / Graves dérapages constatés'. www.connectionivoirienne.net</w:t>
      </w:r>
    </w:p>
  </w:footnote>
  <w:footnote w:id="9">
    <w:p>
      <w:r>
        <w:rPr>
          <w:rStyle w:val="FootnoteReference"/>
        </w:rPr>
        <w:footnoteRef/>
      </w:r>
      <w:r>
        <w:rPr>
          <w:rFonts w:ascii="Arial" w:cs="Arial" w:eastAsia="Arial" w:hAnsi="Arial"/>
          <w:sz w:val="18"/>
          <w:szCs w:val="18"/>
        </w:rPr>
        <w:t xml:space="preserve">Source : Open Government Partnership. Plan d'Action de la Côte d'Ivoire 2024-2026. Engagement CI-0026 : Institutionnalisation du budget participatif dans les collectivités territoriales. www.opengovpartnership.org</w:t>
      </w:r>
    </w:p>
  </w:footnote>
  <w:footnote w:id="10">
    <w:p>
      <w:r>
        <w:rPr>
          <w:rStyle w:val="FootnoteReference"/>
        </w:rPr>
        <w:footnoteRef/>
      </w:r>
      <w:r>
        <w:rPr>
          <w:rFonts w:ascii="Arial" w:cs="Arial" w:eastAsia="Arial" w:hAnsi="Arial"/>
          <w:sz w:val="18"/>
          <w:szCs w:val="18"/>
        </w:rPr>
        <w:t xml:space="preserve">Source : Agence Française de Développement (AFD). 'Moderniser les finances de l'État pour améliorer l'offre de services publics en Côte d'Ivoire.' Présentation du programme PEFA, Abidjan, octobre 2024. www.afd.fr</w:t>
      </w:r>
    </w:p>
  </w:footnote>
  <w:footnote w:id="11">
    <w:p>
      <w:r>
        <w:rPr>
          <w:rStyle w:val="FootnoteReference"/>
        </w:rPr>
        <w:footnoteRef/>
      </w:r>
      <w:r>
        <w:rPr>
          <w:rFonts w:ascii="Arial" w:cs="Arial" w:eastAsia="Arial" w:hAnsi="Arial"/>
          <w:sz w:val="18"/>
          <w:szCs w:val="18"/>
        </w:rPr>
        <w:t xml:space="preserve">Source : MIABE Hackathon 2026. Cadre de Référence — Darollo Technologies Corporation. Fiche projet CI-01 BudgetOuvert. www.miabehackathon.com</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681E" w:sz="4" w:space="1"/>
      </w:pBdr>
      <w:tabs>
        <w:tab w:val="right" w:pos="9026"/>
      </w:tabs>
      <w:spacing w:after="100" w:before="0"/>
    </w:pPr>
    <w:r>
      <w:rPr>
        <w:rFonts w:ascii="Arial" w:cs="Arial" w:eastAsia="Arial" w:hAnsi="Arial"/>
        <w:color w:val="1B2A6B"/>
        <w:sz w:val="18"/>
        <w:szCs w:val="18"/>
      </w:rPr>
      <w:t xml:space="preserve">KOMOE — Budget Transparency  |  BudgetOuvert CI-01  |  MIABE Hackathon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681E" w:sz="4" w:space="1"/>
      </w:pBdr>
      <w:tabs>
        <w:tab w:val="right" w:pos="9026"/>
      </w:tabs>
      <w:spacing w:after="100" w:before="0"/>
    </w:pPr>
    <w:r>
      <w:rPr>
        <w:rFonts w:ascii="Arial" w:cs="Arial" w:eastAsia="Arial" w:hAnsi="Arial"/>
        <w:color w:val="1B2A6B"/>
        <w:sz w:val="18"/>
        <w:szCs w:val="18"/>
      </w:rPr>
      <w:t xml:space="preserve">KOMOE — Budget Transparency  |  BudgetOuvert CI-01  |  MIABE Hackathon 2026</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681E" w:sz="4" w:space="1"/>
      </w:pBdr>
      <w:tabs>
        <w:tab w:val="right" w:pos="9026"/>
      </w:tabs>
      <w:spacing w:after="100" w:before="0"/>
    </w:pPr>
    <w:r>
      <w:rPr>
        <w:rFonts w:ascii="Arial" w:cs="Arial" w:eastAsia="Arial" w:hAnsi="Arial"/>
        <w:color w:val="1B2A6B"/>
        <w:sz w:val="18"/>
        <w:szCs w:val="18"/>
      </w:rPr>
      <w:t xml:space="preserve">KOMOE — Budget Transparency  |  BudgetOuvert CI-01  |  MIABE Hackathon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6B"/>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1B2A6B"/>
      <w:sz w:val="24"/>
      <w:szCs w:val="24"/>
    </w:rPr>
  </w:style>
  <w:style w:type="paragraph" w:styleId="Heading3">
    <w:name w:val="Heading 3"/>
    <w:basedOn w:val="Normal"/>
    <w:next w:val="Normal"/>
    <w:qFormat/>
    <w:pPr>
      <w:spacing w:after="120" w:before="200"/>
      <w:outlineLvl w:val="2"/>
    </w:pPr>
    <w:rPr>
      <w:rFonts w:ascii="Arial" w:cs="Arial" w:eastAsia="Arial" w:hAnsi="Arial"/>
      <w:b/>
      <w:bCs/>
      <w:color w:val="D4681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a304062be2ba66f93fcda44c7518ce986c0d2437.jpe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2026-04-17T02:22:26.324Z</dcterms:created>
  <dcterms:modified xsi:type="dcterms:W3CDTF">2026-04-17T02:22:26.325Z</dcterms:modified>
</cp:coreProperties>
</file>

<file path=docProps/custom.xml><?xml version="1.0" encoding="utf-8"?>
<Properties xmlns="http://schemas.openxmlformats.org/officeDocument/2006/custom-properties" xmlns:vt="http://schemas.openxmlformats.org/officeDocument/2006/docPropsVTypes"/>
</file>