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a2662a31de9ebf26d4840bb93a7571c0f0721c"/>
    <w:p>
      <w:pPr>
        <w:pStyle w:val="Heading1"/>
      </w:pPr>
      <w:r>
        <w:t xml:space="preserve">Documentación del Módulo: silver_collections y Finanzas</w:t>
      </w:r>
    </w:p>
    <w:bookmarkStart w:id="21" w:name="visión-general-y-estratégica"/>
    <w:p>
      <w:pPr>
        <w:pStyle w:val="Heading2"/>
      </w:pPr>
      <w:r>
        <w:t xml:space="preserve">1. Visión General y Estratégica</w:t>
      </w:r>
    </w:p>
    <w:p>
      <w:pPr>
        <w:pStyle w:val="FirstParagraph"/>
      </w:pPr>
      <w:r>
        <w:rPr>
          <w:rStyle w:val="VerbatimChar"/>
          <w:b/>
          <w:bCs/>
        </w:rPr>
        <w:t xml:space="preserve">silver_collections</w:t>
      </w:r>
      <w:r>
        <w:t xml:space="preserve"> </w:t>
      </w:r>
      <w:r>
        <w:t xml:space="preserve">es el módulo encargado de la gestión de cobros y pasarelas de pago. En un ISP con miles de suscriptores, la conciliación manual de transferencias bancarias es inviable. Este módulo busca automatizar la recepción de pagos y su imputación a las facturas correspondientes.</w:t>
      </w:r>
    </w:p>
    <w:p>
      <w:pPr>
        <w:pStyle w:val="BodyText"/>
      </w:pPr>
      <w:r>
        <w:t xml:space="preserve">Su filosofía 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Agnóstico al Proveedor</w:t>
      </w:r>
      <w:r>
        <w:rPr>
          <w:b/>
          <w:bCs/>
        </w:rPr>
        <w:t xml:space="preserve">”</w:t>
      </w:r>
      <w:r>
        <w:t xml:space="preserve">: Define una estructura común para transacciones de pago, permitiendo conectar múltiples bancos o pasarelas (Banesco, Pago Móvil, Zelle, Stripe) mediante conectores específicos.</w:t>
      </w:r>
    </w:p>
    <w:bookmarkStart w:id="20" w:name="objetivos-de-negocio"/>
    <w:p>
      <w:pPr>
        <w:pStyle w:val="Heading3"/>
      </w:pPr>
      <w:r>
        <w:t xml:space="preserve">1.1. Objetivos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Conciliación Automática:</w:t>
      </w:r>
      <w:r>
        <w:t xml:space="preserve"> </w:t>
      </w:r>
      <w:r>
        <w:t xml:space="preserve">Detectar un pago entrante y cruzarlo con el contrato del cliente automáticamente.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Autogestión:</w:t>
      </w:r>
      <w:r>
        <w:t xml:space="preserve"> </w:t>
      </w:r>
      <w:r>
        <w:t xml:space="preserve">Permitir que el cliente reporte su pago a través del portal, reduciendo la carga administrativa.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Reducción de la Morosidad:</w:t>
      </w:r>
      <w:r>
        <w:t xml:space="preserve"> </w:t>
      </w:r>
      <w:r>
        <w:t xml:space="preserve">Agilizar el proceso de reactivación de servicio al confirmar el pago en tiempo real.</w:t>
      </w:r>
    </w:p>
    <w:bookmarkEnd w:id="20"/>
    <w:bookmarkEnd w:id="21"/>
    <w:bookmarkStart w:id="24" w:name="modelos-de-datos-principales"/>
    <w:p>
      <w:pPr>
        <w:pStyle w:val="Heading2"/>
      </w:pPr>
      <w:r>
        <w:t xml:space="preserve">2. Modelos de Datos Principales</w:t>
      </w:r>
    </w:p>
    <w:bookmarkStart w:id="22" w:name="payment.transaction-transacción-de-pago"/>
    <w:p>
      <w:pPr>
        <w:pStyle w:val="Heading3"/>
      </w:pPr>
      <w:r>
        <w:t xml:space="preserve">2.1.</w:t>
      </w:r>
      <w:r>
        <w:t xml:space="preserve"> </w:t>
      </w:r>
      <w:r>
        <w:rPr>
          <w:rStyle w:val="VerbatimChar"/>
        </w:rPr>
        <w:t xml:space="preserve">payment.transaction</w:t>
      </w:r>
      <w:r>
        <w:t xml:space="preserve"> </w:t>
      </w:r>
      <w:r>
        <w:t xml:space="preserve">(Transacción de Pago)</w:t>
      </w:r>
    </w:p>
    <w:p>
      <w:pPr>
        <w:pStyle w:val="FirstParagraph"/>
      </w:pPr>
      <w:r>
        <w:t xml:space="preserve">Es el registro maestro de un intento de pago.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Campos: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: ID único de la transacción en Odoo.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provider_reference</w:t>
      </w:r>
      <w:r>
        <w:t xml:space="preserve">: ID devuelto por el banco/pasarela (ej. número de referencia bancaria).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: Monto pagado.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contract_id</w:t>
      </w:r>
      <w:r>
        <w:t xml:space="preserve">: Contrato al que se aplica el pago.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(Conciliado) 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raw_request/response</w:t>
      </w:r>
      <w:r>
        <w:t xml:space="preserve">: Logs técnicos de la comunicación con la API del banco (crucial para auditoría).</w:t>
      </w:r>
    </w:p>
    <w:bookmarkEnd w:id="22"/>
    <w:bookmarkStart w:id="23" w:name="payment.provider-proveedor-de-pago"/>
    <w:p>
      <w:pPr>
        <w:pStyle w:val="Heading3"/>
      </w:pPr>
      <w:r>
        <w:t xml:space="preserve">2.2.</w:t>
      </w:r>
      <w:r>
        <w:t xml:space="preserve"> </w:t>
      </w:r>
      <w:r>
        <w:rPr>
          <w:rStyle w:val="VerbatimChar"/>
        </w:rPr>
        <w:t xml:space="preserve">payment.provider</w:t>
      </w:r>
      <w:r>
        <w:t xml:space="preserve"> </w:t>
      </w:r>
      <w:r>
        <w:t xml:space="preserve">(Proveedor de Pago)</w:t>
      </w:r>
    </w:p>
    <w:p>
      <w:pPr>
        <w:pStyle w:val="FirstParagraph"/>
      </w:pPr>
      <w:r>
        <w:t xml:space="preserve">Configuración de la pasarela.</w:t>
      </w:r>
      <w:r>
        <w:t xml:space="preserve"> </w:t>
      </w:r>
      <w:r>
        <w:t xml:space="preserve">* Credenciales API (Token, Usuario, Clave).</w:t>
      </w:r>
      <w:r>
        <w:t xml:space="preserve"> </w:t>
      </w:r>
      <w:r>
        <w:t xml:space="preserve">* Métodos soportados (Tarjeta, Transferencia, Pago Móvil).</w:t>
      </w:r>
      <w:r>
        <w:t xml:space="preserve"> </w:t>
      </w:r>
      <w:r>
        <w:t xml:space="preserve">* Estado (Test/Producción).</w:t>
      </w:r>
    </w:p>
    <w:bookmarkEnd w:id="23"/>
    <w:bookmarkEnd w:id="24"/>
    <w:bookmarkStart w:id="27" w:name="flujos-de-trabajo"/>
    <w:p>
      <w:pPr>
        <w:pStyle w:val="Heading2"/>
      </w:pPr>
      <w:r>
        <w:t xml:space="preserve">3. Flujos de Trabajo</w:t>
      </w:r>
    </w:p>
    <w:bookmarkStart w:id="25" w:name="reporte-de-pago-manual-o-portal"/>
    <w:p>
      <w:pPr>
        <w:pStyle w:val="Heading3"/>
      </w:pPr>
      <w:r>
        <w:t xml:space="preserve">3.1. Reporte de Pago (Manual o Portal)</w:t>
      </w:r>
    </w:p>
    <w:p>
      <w:pPr>
        <w:pStyle w:val="Compact"/>
        <w:numPr>
          <w:ilvl w:val="0"/>
          <w:numId w:val="1002"/>
        </w:numPr>
      </w:pPr>
      <w:r>
        <w:t xml:space="preserve">El cliente realiza una transferencia.</w:t>
      </w:r>
    </w:p>
    <w:p>
      <w:pPr>
        <w:pStyle w:val="Compact"/>
        <w:numPr>
          <w:ilvl w:val="0"/>
          <w:numId w:val="1002"/>
        </w:numPr>
      </w:pPr>
      <w:r>
        <w:t xml:space="preserve">Ingresa al portal o envía el comprobante.</w:t>
      </w:r>
    </w:p>
    <w:p>
      <w:pPr>
        <w:pStyle w:val="Compact"/>
        <w:numPr>
          <w:ilvl w:val="0"/>
          <w:numId w:val="1002"/>
        </w:numPr>
      </w:pPr>
      <w:r>
        <w:t xml:space="preserve">Se crea un</w:t>
      </w:r>
      <w:r>
        <w:t xml:space="preserve"> </w:t>
      </w:r>
      <w:r>
        <w:rPr>
          <w:rStyle w:val="VerbatimChar"/>
        </w:rPr>
        <w:t xml:space="preserve">payment.transaction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sistema (o un operador) valida la referencia contra el banco.</w:t>
      </w:r>
    </w:p>
    <w:p>
      <w:pPr>
        <w:pStyle w:val="Compact"/>
        <w:numPr>
          <w:ilvl w:val="0"/>
          <w:numId w:val="1002"/>
        </w:numPr>
      </w:pPr>
      <w:r>
        <w:t xml:space="preserve">Si es válida, la transacción pasa a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</w:t>
      </w:r>
    </w:p>
    <w:bookmarkEnd w:id="25"/>
    <w:bookmarkStart w:id="26" w:name="conciliación-payment-matching"/>
    <w:p>
      <w:pPr>
        <w:pStyle w:val="Heading3"/>
      </w:pPr>
      <w:r>
        <w:t xml:space="preserve">3.2. Conciliación (Payment Matching)</w:t>
      </w:r>
    </w:p>
    <w:p>
      <w:pPr>
        <w:pStyle w:val="FirstParagraph"/>
      </w:pPr>
      <w:r>
        <w:t xml:space="preserve">Cuando una transacción pasa a</w:t>
      </w:r>
      <w:r>
        <w:t xml:space="preserve"> </w:t>
      </w:r>
      <w:r>
        <w:rPr>
          <w:rStyle w:val="VerbatimChar"/>
        </w:rPr>
        <w:t xml:space="preserve">Done</w:t>
      </w:r>
      <w:r>
        <w:t xml:space="preserve">:</w:t>
      </w:r>
      <w:r>
        <w:t xml:space="preserve"> </w:t>
      </w:r>
      <w:r>
        <w:t xml:space="preserve">1. Se genera automáticamente un</w:t>
      </w:r>
      <w:r>
        <w:t xml:space="preserve"> </w:t>
      </w:r>
      <w:r>
        <w:rPr>
          <w:rStyle w:val="VerbatimChar"/>
        </w:rPr>
        <w:t xml:space="preserve">account.payment</w:t>
      </w:r>
      <w:r>
        <w:t xml:space="preserve"> </w:t>
      </w:r>
      <w:r>
        <w:t xml:space="preserve">(Pago contable) en Odoo.</w:t>
      </w:r>
      <w:r>
        <w:t xml:space="preserve"> </w:t>
      </w:r>
      <w:r>
        <w:t xml:space="preserve">2. Se busca la factura abierta (</w:t>
      </w:r>
      <w:r>
        <w:rPr>
          <w:rStyle w:val="VerbatimChar"/>
        </w:rPr>
        <w:t xml:space="preserve">account.move</w:t>
      </w:r>
      <w:r>
        <w:t xml:space="preserve">) más antigua del contrato asociado.</w:t>
      </w:r>
      <w:r>
        <w:t xml:space="preserve"> </w:t>
      </w:r>
      <w:r>
        <w:t xml:space="preserve">3. Se</w:t>
      </w:r>
      <w:r>
        <w:t xml:space="preserve"> </w:t>
      </w:r>
      <w:r>
        <w:t xml:space="preserve">“</w:t>
      </w:r>
      <w:r>
        <w:t xml:space="preserve">concilia</w:t>
      </w:r>
      <w:r>
        <w:t xml:space="preserve">”</w:t>
      </w:r>
      <w:r>
        <w:t xml:space="preserve"> </w:t>
      </w:r>
      <w:r>
        <w:t xml:space="preserve">(cruza) el pago con la factura, marcándola como</w:t>
      </w:r>
      <w:r>
        <w:t xml:space="preserve"> </w:t>
      </w:r>
      <w:r>
        <w:t xml:space="preserve">“</w:t>
      </w:r>
      <w:r>
        <w:t xml:space="preserve">Pagada</w:t>
      </w:r>
      <w:r>
        <w:t xml:space="preserve">”</w:t>
      </w:r>
      <w:r>
        <w:t xml:space="preserve">.</w:t>
      </w:r>
      <w:r>
        <w:t xml:space="preserve"> </w:t>
      </w:r>
      <w:r>
        <w:t xml:space="preserve">4. Si el contrato estaba suspendido, esto dispara la reactivación automática (ver</w:t>
      </w:r>
      <w:r>
        <w:t xml:space="preserve"> </w:t>
      </w:r>
      <w:r>
        <w:rPr>
          <w:rStyle w:val="VerbatimChar"/>
        </w:rPr>
        <w:t xml:space="preserve">silver_contract</w:t>
      </w:r>
      <w:r>
        <w:t xml:space="preserve">).</w:t>
      </w:r>
    </w:p>
    <w:bookmarkEnd w:id="26"/>
    <w:bookmarkEnd w:id="27"/>
    <w:bookmarkStart w:id="28" w:name="instalación-y-dependencias"/>
    <w:p>
      <w:pPr>
        <w:pStyle w:val="Heading2"/>
      </w:pPr>
      <w:r>
        <w:t xml:space="preserve">4. Instalación y Dependencias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Dependencias: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silver_contract</w:t>
      </w:r>
      <w:r>
        <w:t xml:space="preserve"> </w:t>
      </w:r>
      <w:r>
        <w:t xml:space="preserve">(Para asociar pagos a contratos).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silver_accounting</w:t>
      </w:r>
      <w:r>
        <w:t xml:space="preserve"> </w:t>
      </w:r>
      <w:r>
        <w:t xml:space="preserve">(Si existe, para lógica contable extra).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(Módulo base de contabilidad).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2025-12-02T17:27:11Z</dcterms:created>
  <dcterms:modified xsi:type="dcterms:W3CDTF">2025-12-02T17:27:11Z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