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12607b7c6a703dfc0822fe8228fa3aba0745c74"/>
    <w:p>
      <w:pPr>
        <w:pStyle w:val="Heading1"/>
      </w:pPr>
      <w:r>
        <w:t xml:space="preserve">Documentación del Módulo: silver_l10n_ve (Suite)</w:t>
      </w:r>
    </w:p>
    <w:bookmarkStart w:id="21" w:name="visión-general-y-estratégica"/>
    <w:p>
      <w:pPr>
        <w:pStyle w:val="Heading2"/>
      </w:pPr>
      <w:r>
        <w:t xml:space="preserve">1. Visión General y Estratégica</w:t>
      </w:r>
    </w:p>
    <w:p>
      <w:pPr>
        <w:pStyle w:val="FirstParagraph"/>
      </w:pPr>
      <w:r>
        <w:t xml:space="preserve">La suite</w:t>
      </w:r>
      <w:r>
        <w:t xml:space="preserve"> </w:t>
      </w:r>
      <w:r>
        <w:rPr>
          <w:rStyle w:val="VerbatimChar"/>
          <w:b/>
          <w:bCs/>
        </w:rPr>
        <w:t xml:space="preserve">silver_l10n_ve</w:t>
      </w:r>
      <w:r>
        <w:t xml:space="preserve"> </w:t>
      </w:r>
      <w:r>
        <w:t xml:space="preserve">adapta Odoo a las regulaciones fiscales, contables y territoriales de Venezuela. Dado que Odoo estándar carece de una localización venezolana profunda para la versión Enterprise más reciente, estos módulos llenan el vacío crítico para la operación legal de un ISP en el país.</w:t>
      </w:r>
    </w:p>
    <w:p>
      <w:pPr>
        <w:pStyle w:val="BodyText"/>
      </w:pPr>
      <w:r>
        <w:t xml:space="preserve">El enfoque es</w:t>
      </w:r>
      <w:r>
        <w:t xml:space="preserve"> </w:t>
      </w:r>
      <w:r>
        <w:rPr>
          <w:b/>
          <w:bCs/>
        </w:rPr>
        <w:t xml:space="preserve">modular</w:t>
      </w:r>
      <w:r>
        <w:t xml:space="preserve">, separando la base territorial de la lógica de facturación electrónica y los reportes contables.</w:t>
      </w:r>
    </w:p>
    <w:bookmarkStart w:id="20" w:name="objetivos-de-negocio"/>
    <w:p>
      <w:pPr>
        <w:pStyle w:val="Heading3"/>
      </w:pPr>
      <w:r>
        <w:t xml:space="preserve">1.1. Objetivos de Negocio</w:t>
      </w:r>
    </w:p>
    <w:p>
      <w:pPr>
        <w:pStyle w:val="Compact"/>
        <w:numPr>
          <w:ilvl w:val="0"/>
          <w:numId w:val="1001"/>
        </w:numPr>
      </w:pPr>
      <w:r>
        <w:rPr>
          <w:b/>
          <w:bCs/>
        </w:rPr>
        <w:t xml:space="preserve">Cumplimiento Legal (SENIAT):</w:t>
      </w:r>
      <w:r>
        <w:t xml:space="preserve"> </w:t>
      </w:r>
      <w:r>
        <w:t xml:space="preserve">Asegurar que las facturas, retenciones y libros de compra/venta cumplan con la normativa vigente.</w:t>
      </w:r>
    </w:p>
    <w:p>
      <w:pPr>
        <w:pStyle w:val="Compact"/>
        <w:numPr>
          <w:ilvl w:val="0"/>
          <w:numId w:val="1001"/>
        </w:numPr>
      </w:pPr>
      <w:r>
        <w:rPr>
          <w:b/>
          <w:bCs/>
        </w:rPr>
        <w:t xml:space="preserve">Precisión Territorial:</w:t>
      </w:r>
      <w:r>
        <w:t xml:space="preserve"> </w:t>
      </w:r>
      <w:r>
        <w:t xml:space="preserve">Permitir la segmentación de clientes por Estado, Municipio y Parroquia (esencial para impuestos municipales y logística).</w:t>
      </w:r>
    </w:p>
    <w:p>
      <w:pPr>
        <w:pStyle w:val="Compact"/>
        <w:numPr>
          <w:ilvl w:val="0"/>
          <w:numId w:val="1001"/>
        </w:numPr>
      </w:pPr>
      <w:r>
        <w:rPr>
          <w:b/>
          <w:bCs/>
        </w:rPr>
        <w:t xml:space="preserve">Facturación Electrónica:</w:t>
      </w:r>
      <w:r>
        <w:t xml:space="preserve"> </w:t>
      </w:r>
      <w:r>
        <w:t xml:space="preserve">Integración agnóstica con proveedores de facturación electrónica.</w:t>
      </w:r>
    </w:p>
    <w:bookmarkEnd w:id="20"/>
    <w:bookmarkEnd w:id="21"/>
    <w:bookmarkStart w:id="22" w:name="arquitectura-de-módulos"/>
    <w:p>
      <w:pPr>
        <w:pStyle w:val="Heading2"/>
      </w:pPr>
      <w:r>
        <w:t xml:space="preserve">2. Arquitectura de Módulos</w:t>
      </w:r>
    </w:p>
    <w:p>
      <w:pPr>
        <w:pStyle w:val="FirstParagraph"/>
      </w:pPr>
      <w:r>
        <w:t xml:space="preserve">La solución se divide en capas:</w:t>
      </w:r>
    </w:p>
    <w:p>
      <w:pPr>
        <w:pStyle w:val="Compact"/>
        <w:numPr>
          <w:ilvl w:val="0"/>
          <w:numId w:val="1002"/>
        </w:numPr>
      </w:pPr>
      <w:r>
        <w:rPr>
          <w:rStyle w:val="VerbatimChar"/>
          <w:b/>
          <w:bCs/>
        </w:rPr>
        <w:t xml:space="preserve">silver_l10n_ve_base</w:t>
      </w:r>
      <w:r>
        <w:rPr>
          <w:b/>
          <w:bCs/>
        </w:rPr>
        <w:t xml:space="preserve"> </w:t>
      </w:r>
      <w:r>
        <w:rPr>
          <w:b/>
          <w:bCs/>
        </w:rPr>
        <w:t xml:space="preserve">(Núcleo Territorial):</w:t>
      </w:r>
    </w:p>
    <w:p>
      <w:pPr>
        <w:pStyle w:val="Compact"/>
        <w:numPr>
          <w:ilvl w:val="1"/>
          <w:numId w:val="1003"/>
        </w:numPr>
      </w:pPr>
      <w:r>
        <w:t xml:space="preserve">Define la división política de Venezuela: Estados, Municipios, Parroquias y Ciudades.</w:t>
      </w:r>
    </w:p>
    <w:p>
      <w:pPr>
        <w:pStyle w:val="Compact"/>
        <w:numPr>
          <w:ilvl w:val="1"/>
          <w:numId w:val="1003"/>
        </w:numPr>
      </w:pPr>
      <w:r>
        <w:t xml:space="preserve">Extiende</w:t>
      </w:r>
      <w:r>
        <w:t xml:space="preserve"> </w:t>
      </w:r>
      <w:r>
        <w:rPr>
          <w:rStyle w:val="VerbatimChar"/>
        </w:rPr>
        <w:t xml:space="preserve">res.partner</w:t>
      </w:r>
      <w:r>
        <w:t xml:space="preserve"> </w:t>
      </w:r>
      <w:r>
        <w:t xml:space="preserve">y</w:t>
      </w:r>
      <w:r>
        <w:t xml:space="preserve"> </w:t>
      </w:r>
      <w:r>
        <w:rPr>
          <w:rStyle w:val="VerbatimChar"/>
        </w:rPr>
        <w:t xml:space="preserve">silver.address</w:t>
      </w:r>
      <w:r>
        <w:t xml:space="preserve"> </w:t>
      </w:r>
      <w:r>
        <w:t xml:space="preserve">para incluir estos campos.</w:t>
      </w:r>
    </w:p>
    <w:p>
      <w:pPr>
        <w:pStyle w:val="Compact"/>
        <w:numPr>
          <w:ilvl w:val="1"/>
          <w:numId w:val="1003"/>
        </w:numPr>
      </w:pPr>
      <w:r>
        <w:t xml:space="preserve">Valida el formato del RIF (Registro de Información Fiscal).</w:t>
      </w:r>
    </w:p>
    <w:p>
      <w:pPr>
        <w:pStyle w:val="Compact"/>
        <w:numPr>
          <w:ilvl w:val="0"/>
          <w:numId w:val="1002"/>
        </w:numPr>
      </w:pPr>
      <w:r>
        <w:rPr>
          <w:rStyle w:val="VerbatimChar"/>
          <w:b/>
          <w:bCs/>
        </w:rPr>
        <w:t xml:space="preserve">silver_l10n_ve_accounting</w:t>
      </w:r>
      <w:r>
        <w:rPr>
          <w:b/>
          <w:bCs/>
        </w:rPr>
        <w:t xml:space="preserve"> </w:t>
      </w:r>
      <w:r>
        <w:rPr>
          <w:b/>
          <w:bCs/>
        </w:rPr>
        <w:t xml:space="preserve">(Contabilidad):</w:t>
      </w:r>
    </w:p>
    <w:p>
      <w:pPr>
        <w:pStyle w:val="Compact"/>
        <w:numPr>
          <w:ilvl w:val="1"/>
          <w:numId w:val="1004"/>
        </w:numPr>
      </w:pPr>
      <w:r>
        <w:t xml:space="preserve">Configura el Plan de Cuentas (Chart of Accounts) venezolano.</w:t>
      </w:r>
    </w:p>
    <w:p>
      <w:pPr>
        <w:pStyle w:val="Compact"/>
        <w:numPr>
          <w:ilvl w:val="1"/>
          <w:numId w:val="1004"/>
        </w:numPr>
      </w:pPr>
      <w:r>
        <w:t xml:space="preserve">Gestiona los impuestos (IVA, IGTF, Retenciones ISLR/IVA).</w:t>
      </w:r>
    </w:p>
    <w:p>
      <w:pPr>
        <w:pStyle w:val="Compact"/>
        <w:numPr>
          <w:ilvl w:val="0"/>
          <w:numId w:val="1002"/>
        </w:numPr>
      </w:pPr>
      <w:r>
        <w:rPr>
          <w:rStyle w:val="VerbatimChar"/>
          <w:b/>
          <w:bCs/>
        </w:rPr>
        <w:t xml:space="preserve">silver_l10n_ve_electronic_invoice</w:t>
      </w:r>
      <w:r>
        <w:rPr>
          <w:b/>
          <w:bCs/>
        </w:rPr>
        <w:t xml:space="preserve"> </w:t>
      </w:r>
      <w:r>
        <w:rPr>
          <w:b/>
          <w:bCs/>
        </w:rPr>
        <w:t xml:space="preserve">(Facturación):</w:t>
      </w:r>
    </w:p>
    <w:p>
      <w:pPr>
        <w:pStyle w:val="Compact"/>
        <w:numPr>
          <w:ilvl w:val="1"/>
          <w:numId w:val="1005"/>
        </w:numPr>
      </w:pPr>
      <w:r>
        <w:t xml:space="preserve">Gestiona la emisión de documentos fiscales electrónicos.</w:t>
      </w:r>
    </w:p>
    <w:p>
      <w:pPr>
        <w:pStyle w:val="Compact"/>
        <w:numPr>
          <w:ilvl w:val="1"/>
          <w:numId w:val="1005"/>
        </w:numPr>
      </w:pPr>
      <w:r>
        <w:t xml:space="preserve">Es</w:t>
      </w:r>
      <w:r>
        <w:t xml:space="preserve"> </w:t>
      </w:r>
      <w:r>
        <w:t xml:space="preserve">“</w:t>
      </w:r>
      <w:r>
        <w:t xml:space="preserve">agnóstico</w:t>
      </w:r>
      <w:r>
        <w:t xml:space="preserve">”</w:t>
      </w:r>
      <w:r>
        <w:t xml:space="preserve"> </w:t>
      </w:r>
      <w:r>
        <w:t xml:space="preserve">al proveedor: define una interfaz común para que módulos conectores (ej.</w:t>
      </w:r>
      <w:r>
        <w:t xml:space="preserve"> </w:t>
      </w:r>
      <w:r>
        <w:rPr>
          <w:rStyle w:val="VerbatimChar"/>
        </w:rPr>
        <w:t xml:space="preserve">TheFactory</w:t>
      </w:r>
      <w:r>
        <w:t xml:space="preserve">,</w:t>
      </w:r>
      <w:r>
        <w:t xml:space="preserve"> </w:t>
      </w:r>
      <w:r>
        <w:rPr>
          <w:rStyle w:val="VerbatimChar"/>
        </w:rPr>
        <w:t xml:space="preserve">Sistematics</w:t>
      </w:r>
      <w:r>
        <w:t xml:space="preserve">) se enchufen sin cambiar la lógica del ERP.</w:t>
      </w:r>
    </w:p>
    <w:p>
      <w:pPr>
        <w:pStyle w:val="Compact"/>
        <w:numPr>
          <w:ilvl w:val="0"/>
          <w:numId w:val="1002"/>
        </w:numPr>
      </w:pPr>
      <w:r>
        <w:rPr>
          <w:rStyle w:val="VerbatimChar"/>
          <w:b/>
          <w:bCs/>
        </w:rPr>
        <w:t xml:space="preserve">silver_l10n_ve_sale_purchase</w:t>
      </w:r>
      <w:r>
        <w:rPr>
          <w:b/>
          <w:bCs/>
        </w:rPr>
        <w:t xml:space="preserve"> </w:t>
      </w:r>
      <w:r>
        <w:rPr>
          <w:b/>
          <w:bCs/>
        </w:rPr>
        <w:t xml:space="preserve">(Libros):</w:t>
      </w:r>
    </w:p>
    <w:p>
      <w:pPr>
        <w:pStyle w:val="Compact"/>
        <w:numPr>
          <w:ilvl w:val="1"/>
          <w:numId w:val="1006"/>
        </w:numPr>
      </w:pPr>
      <w:r>
        <w:t xml:space="preserve">Genera los Libros de Compra y Venta requeridos por el SENIAT.</w:t>
      </w:r>
    </w:p>
    <w:bookmarkEnd w:id="22"/>
    <w:bookmarkStart w:id="26" w:name="alcance-funcional-detallado"/>
    <w:p>
      <w:pPr>
        <w:pStyle w:val="Heading2"/>
      </w:pPr>
      <w:r>
        <w:t xml:space="preserve">3. Alcance Funcional Detallado</w:t>
      </w:r>
    </w:p>
    <w:bookmarkStart w:id="23" w:name="Xc1fc7e45c5b11b582920a604498003f963c27a5"/>
    <w:p>
      <w:pPr>
        <w:pStyle w:val="Heading3"/>
      </w:pPr>
      <w:r>
        <w:t xml:space="preserve">3.1. Gestión de Direcciones (</w:t>
      </w:r>
      <w:r>
        <w:rPr>
          <w:rStyle w:val="VerbatimChar"/>
        </w:rPr>
        <w:t xml:space="preserve">silver_l10n_ve_base</w:t>
      </w:r>
      <w:r>
        <w:t xml:space="preserve">)</w:t>
      </w:r>
    </w:p>
    <w:p>
      <w:pPr>
        <w:pStyle w:val="FirstParagraph"/>
      </w:pPr>
      <w:r>
        <w:t xml:space="preserve">Este módulo modifica el comportamiento estándar de las direcciones en Odoo. En lugar de campos de texto libre para ciudad o estado, fuerza la selección de:</w:t>
      </w:r>
    </w:p>
    <w:p>
      <w:pPr>
        <w:pStyle w:val="Compact"/>
        <w:numPr>
          <w:ilvl w:val="0"/>
          <w:numId w:val="1007"/>
        </w:numPr>
      </w:pPr>
      <w:r>
        <w:rPr>
          <w:b/>
          <w:bCs/>
        </w:rPr>
        <w:t xml:space="preserve">Estado</w:t>
      </w:r>
      <w:r>
        <w:t xml:space="preserve"> </w:t>
      </w:r>
      <w:r>
        <w:t xml:space="preserve">(</w:t>
      </w:r>
      <w:r>
        <w:rPr>
          <w:rStyle w:val="VerbatimChar"/>
        </w:rPr>
        <w:t xml:space="preserve">res.country.state</w:t>
      </w:r>
      <w:r>
        <w:t xml:space="preserve">): Ej. Zulia, Miranda.</w:t>
      </w:r>
    </w:p>
    <w:p>
      <w:pPr>
        <w:pStyle w:val="Compact"/>
        <w:numPr>
          <w:ilvl w:val="0"/>
          <w:numId w:val="1007"/>
        </w:numPr>
      </w:pPr>
      <w:r>
        <w:rPr>
          <w:b/>
          <w:bCs/>
        </w:rPr>
        <w:t xml:space="preserve">Municipio</w:t>
      </w:r>
      <w:r>
        <w:t xml:space="preserve"> </w:t>
      </w:r>
      <w:r>
        <w:t xml:space="preserve">(</w:t>
      </w:r>
      <w:r>
        <w:rPr>
          <w:rStyle w:val="VerbatimChar"/>
        </w:rPr>
        <w:t xml:space="preserve">res.country.municipality</w:t>
      </w:r>
      <w:r>
        <w:t xml:space="preserve">): Ej. Maracaibo, Chacao.</w:t>
      </w:r>
    </w:p>
    <w:p>
      <w:pPr>
        <w:pStyle w:val="Compact"/>
        <w:numPr>
          <w:ilvl w:val="0"/>
          <w:numId w:val="1007"/>
        </w:numPr>
      </w:pPr>
      <w:r>
        <w:rPr>
          <w:b/>
          <w:bCs/>
        </w:rPr>
        <w:t xml:space="preserve">Parroquia</w:t>
      </w:r>
      <w:r>
        <w:t xml:space="preserve"> </w:t>
      </w:r>
      <w:r>
        <w:t xml:space="preserve">(</w:t>
      </w:r>
      <w:r>
        <w:rPr>
          <w:rStyle w:val="VerbatimChar"/>
        </w:rPr>
        <w:t xml:space="preserve">res.country.parish</w:t>
      </w:r>
      <w:r>
        <w:t xml:space="preserve">): Ej. Olegario Villalobos.</w:t>
      </w:r>
    </w:p>
    <w:p>
      <w:pPr>
        <w:pStyle w:val="FirstParagraph"/>
      </w:pPr>
      <w:r>
        <w:t xml:space="preserve">Esta estructura se inyecta en el modelo</w:t>
      </w:r>
      <w:r>
        <w:t xml:space="preserve"> </w:t>
      </w:r>
      <w:r>
        <w:rPr>
          <w:rStyle w:val="VerbatimChar"/>
        </w:rPr>
        <w:t xml:space="preserve">silver.address</w:t>
      </w:r>
      <w:r>
        <w:t xml:space="preserve">, asegurando que cada instalación de fibra óptica tenga una ubicación fiscalmente válida.</w:t>
      </w:r>
    </w:p>
    <w:bookmarkEnd w:id="23"/>
    <w:bookmarkStart w:id="24" w:name="validación-de-rif"/>
    <w:p>
      <w:pPr>
        <w:pStyle w:val="Heading3"/>
      </w:pPr>
      <w:r>
        <w:t xml:space="preserve">3.2. Validación de RIF</w:t>
      </w:r>
    </w:p>
    <w:p>
      <w:pPr>
        <w:pStyle w:val="FirstParagraph"/>
      </w:pPr>
      <w:r>
        <w:t xml:space="preserve">El sistema incluye validaciones para asegurar que el RIF (V, J, G, E, P) tenga el formato correcto y el dígito verificador válido, evitando errores en la facturación que podrían acarrear multas.</w:t>
      </w:r>
    </w:p>
    <w:bookmarkEnd w:id="24"/>
    <w:bookmarkStart w:id="25" w:name="facturación-electrónica"/>
    <w:p>
      <w:pPr>
        <w:pStyle w:val="Heading3"/>
      </w:pPr>
      <w:r>
        <w:t xml:space="preserve">3.3. Facturación Electrónica</w:t>
      </w:r>
    </w:p>
    <w:p>
      <w:pPr>
        <w:pStyle w:val="FirstParagraph"/>
      </w:pPr>
      <w:r>
        <w:t xml:space="preserve">El módulo</w:t>
      </w:r>
      <w:r>
        <w:t xml:space="preserve"> </w:t>
      </w:r>
      <w:r>
        <w:rPr>
          <w:rStyle w:val="VerbatimChar"/>
        </w:rPr>
        <w:t xml:space="preserve">silver_l10n_ve_electronic_invoice</w:t>
      </w:r>
      <w:r>
        <w:t xml:space="preserve"> </w:t>
      </w:r>
      <w:r>
        <w:t xml:space="preserve">actúa como un</w:t>
      </w:r>
      <w:r>
        <w:t xml:space="preserve"> </w:t>
      </w:r>
      <w:r>
        <w:rPr>
          <w:i/>
          <w:iCs/>
        </w:rPr>
        <w:t xml:space="preserve">middleware</w:t>
      </w:r>
      <w:r>
        <w:t xml:space="preserve">.</w:t>
      </w:r>
      <w:r>
        <w:t xml:space="preserve"> </w:t>
      </w:r>
      <w:r>
        <w:t xml:space="preserve">* No se conecta directamente a un servicio.</w:t>
      </w:r>
      <w:r>
        <w:t xml:space="preserve"> </w:t>
      </w:r>
      <w:r>
        <w:t xml:space="preserve">* Provee los campos necesarios en la factura (</w:t>
      </w:r>
      <w:r>
        <w:rPr>
          <w:rStyle w:val="VerbatimChar"/>
        </w:rPr>
        <w:t xml:space="preserve">nro_control</w:t>
      </w:r>
      <w:r>
        <w:t xml:space="preserve">,</w:t>
      </w:r>
      <w:r>
        <w:t xml:space="preserve"> </w:t>
      </w:r>
      <w:r>
        <w:rPr>
          <w:rStyle w:val="VerbatimChar"/>
        </w:rPr>
        <w:t xml:space="preserve">fecha_comprobante</w:t>
      </w:r>
      <w:r>
        <w:t xml:space="preserve">).</w:t>
      </w:r>
      <w:r>
        <w:t xml:space="preserve"> </w:t>
      </w:r>
      <w:r>
        <w:t xml:space="preserve">* Define el flujo de aprobación: Borrador -&gt; Publicado -&gt;</w:t>
      </w:r>
      <w:r>
        <w:t xml:space="preserve"> </w:t>
      </w:r>
      <w:r>
        <w:rPr>
          <w:b/>
          <w:bCs/>
        </w:rPr>
        <w:t xml:space="preserve">Enviado a Proveedor</w:t>
      </w:r>
      <w:r>
        <w:t xml:space="preserve"> </w:t>
      </w:r>
      <w:r>
        <w:t xml:space="preserve">-&gt; Aprobado/Rechazado.</w:t>
      </w:r>
    </w:p>
    <w:bookmarkEnd w:id="25"/>
    <w:bookmarkEnd w:id="26"/>
    <w:bookmarkStart w:id="27" w:name="dependencias"/>
    <w:p>
      <w:pPr>
        <w:pStyle w:val="Heading2"/>
      </w:pPr>
      <w:r>
        <w:t xml:space="preserve">4. Dependencias</w:t>
      </w:r>
    </w:p>
    <w:p>
      <w:pPr>
        <w:pStyle w:val="Compact"/>
        <w:numPr>
          <w:ilvl w:val="0"/>
          <w:numId w:val="1008"/>
        </w:numPr>
      </w:pPr>
      <w:r>
        <w:rPr>
          <w:b/>
          <w:bCs/>
        </w:rPr>
        <w:t xml:space="preserve">Base:</w:t>
      </w:r>
      <w:r>
        <w:t xml:space="preserve"> </w:t>
      </w:r>
      <w:r>
        <w:rPr>
          <w:rStyle w:val="VerbatimChar"/>
        </w:rPr>
        <w:t xml:space="preserve">silver_base</w:t>
      </w:r>
      <w:r>
        <w:t xml:space="preserve"> </w:t>
      </w:r>
      <w:r>
        <w:t xml:space="preserve">(Para la integración con direcciones Silver).</w:t>
      </w:r>
    </w:p>
    <w:p>
      <w:pPr>
        <w:pStyle w:val="Compact"/>
        <w:numPr>
          <w:ilvl w:val="0"/>
          <w:numId w:val="1008"/>
        </w:numPr>
      </w:pPr>
      <w:r>
        <w:rPr>
          <w:b/>
          <w:bCs/>
        </w:rPr>
        <w:t xml:space="preserve">Contabilidad:</w:t>
      </w:r>
      <w:r>
        <w:t xml:space="preserve"> </w:t>
      </w:r>
      <w:r>
        <w:rPr>
          <w:rStyle w:val="VerbatimChar"/>
        </w:rPr>
        <w:t xml:space="preserve">account</w:t>
      </w:r>
      <w:r>
        <w:t xml:space="preserve"> </w:t>
      </w:r>
      <w:r>
        <w:t xml:space="preserve">(Odoo Enterprise/Community).</w:t>
      </w:r>
    </w:p>
    <w:p>
      <w:pPr>
        <w:pStyle w:val="Compact"/>
        <w:numPr>
          <w:ilvl w:val="0"/>
          <w:numId w:val="1008"/>
        </w:numPr>
      </w:pPr>
      <w:r>
        <w:rPr>
          <w:b/>
          <w:bCs/>
        </w:rPr>
        <w:t xml:space="preserve">Externa:</w:t>
      </w:r>
      <w:r>
        <w:t xml:space="preserve"> </w:t>
      </w:r>
      <w:r>
        <w:rPr>
          <w:rStyle w:val="VerbatimChar"/>
        </w:rPr>
        <w:t xml:space="preserve">l10n_ve_location</w:t>
      </w:r>
      <w:r>
        <w:t xml:space="preserve"> </w:t>
      </w:r>
      <w:r>
        <w:t xml:space="preserve">(Módulo comunitario OCA o similar que provee la data inicial de estados/municipios, si aplica).</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2025-12-02T17:27:11Z</dcterms:created>
  <dcterms:modified xsi:type="dcterms:W3CDTF">2025-12-02T17:27:11Z</dcterms:modified>
</cp:coreProperties>
</file>

<file path=docProps/custom.xml><?xml version="1.0" encoding="utf-8"?>
<Properties xmlns="http://schemas.openxmlformats.org/officeDocument/2006/custom-properties" xmlns:vt="http://schemas.openxmlformats.org/officeDocument/2006/docPropsVTypes"/>
</file>