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umentación-del-módulo-silver_product"/>
    <w:p>
      <w:pPr>
        <w:pStyle w:val="Heading1"/>
      </w:pPr>
      <w:r>
        <w:t xml:space="preserve">Documentación del Módulo: silver_product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b/>
          <w:bCs/>
        </w:rPr>
        <w:t xml:space="preserve">silver_product</w:t>
      </w:r>
      <w:r>
        <w:t xml:space="preserve"> </w:t>
      </w:r>
      <w:r>
        <w:t xml:space="preserve">adapta el catálogo de productos estándar de Odoo para soportar la complejidad de los servicios de telecomunicaciones. Un</w:t>
      </w:r>
      <w:r>
        <w:t xml:space="preserve"> </w:t>
      </w:r>
      <w:r>
        <w:t xml:space="preserve">“</w:t>
      </w:r>
      <w:r>
        <w:t xml:space="preserve">producto</w:t>
      </w:r>
      <w:r>
        <w:t xml:space="preserve">”</w:t>
      </w:r>
      <w:r>
        <w:t xml:space="preserve"> </w:t>
      </w:r>
      <w:r>
        <w:t xml:space="preserve">en Odoo ya no es solo un ítem vendible, sino una definición técnica de un servicio (Perfil de Velocidad, Recurrencia, Tecnología).</w:t>
      </w:r>
    </w:p>
    <w:p>
      <w:pPr>
        <w:pStyle w:val="BodyText"/>
      </w:pPr>
      <w:r>
        <w:t xml:space="preserve">Este módulo es el puente entre lo que se vende (Facturación/Ventas) y lo que se entrega técnicamente (Ancho de banda, QoS).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Definición de Planes:</w:t>
      </w:r>
      <w:r>
        <w:t xml:space="preserve"> </w:t>
      </w:r>
      <w:r>
        <w:t xml:space="preserve">Configurar velocidades de subida/bajada y precios.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 de Hardware:</w:t>
      </w:r>
      <w:r>
        <w:t xml:space="preserve"> </w:t>
      </w:r>
      <w:r>
        <w:t xml:space="preserve">Gestionar modelos de equipos (ONUs, Routers) como productos almacenables.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Integración Técnica:</w:t>
      </w:r>
      <w:r>
        <w:t xml:space="preserve"> </w:t>
      </w:r>
      <w:r>
        <w:t xml:space="preserve">Almacenar parámetros de configuración (VLANs, Burst Limit, Prioridad) directamente en la ficha del producto.</w:t>
      </w:r>
    </w:p>
    <w:bookmarkEnd w:id="20"/>
    <w:bookmarkEnd w:id="21"/>
    <w:bookmarkStart w:id="24" w:name="alcance-funcional"/>
    <w:p>
      <w:pPr>
        <w:pStyle w:val="Heading2"/>
      </w:pPr>
      <w:r>
        <w:t xml:space="preserve">2. Alcance Funcional</w:t>
      </w:r>
    </w:p>
    <w:bookmarkStart w:id="22" w:name="extensiones-a-product.template"/>
    <w:p>
      <w:pPr>
        <w:pStyle w:val="Heading3"/>
      </w:pPr>
      <w:r>
        <w:t xml:space="preserve">2.1. Extensiones a</w:t>
      </w:r>
      <w:r>
        <w:t xml:space="preserve"> </w:t>
      </w:r>
      <w:r>
        <w:rPr>
          <w:rStyle w:val="VerbatimChar"/>
        </w:rPr>
        <w:t xml:space="preserve">product.template</w:t>
      </w:r>
    </w:p>
    <w:p>
      <w:pPr>
        <w:pStyle w:val="FirstParagraph"/>
      </w:pPr>
      <w:r>
        <w:t xml:space="preserve">El módulo añade pestañas y campos específicos para ISP al formulario de producto: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 ISP (Técnicos):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is_internet</w:t>
      </w:r>
      <w:r>
        <w:t xml:space="preserve">: Flag para identificar planes de datos.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Ancho de Banda:</w:t>
      </w:r>
      <w:r>
        <w:t xml:space="preserve"> </w:t>
      </w:r>
      <w:r>
        <w:rPr>
          <w:rStyle w:val="VerbatimChar"/>
        </w:rPr>
        <w:t xml:space="preserve">upload_bandwidth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download_bandwidth</w:t>
      </w:r>
      <w:r>
        <w:t xml:space="preserve"> </w:t>
      </w:r>
      <w:r>
        <w:t xml:space="preserve">(en Mbps).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Bursting (Ráfaga):</w:t>
      </w:r>
      <w:r>
        <w:t xml:space="preserve"> </w:t>
      </w:r>
      <w:r>
        <w:t xml:space="preserve">Configuración avanzada de</w:t>
      </w:r>
      <w:r>
        <w:t xml:space="preserve"> </w:t>
      </w:r>
      <w:r>
        <w:rPr>
          <w:rStyle w:val="VerbatimChar"/>
        </w:rPr>
        <w:t xml:space="preserve">burst_limit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burst_threshold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burst_time</w:t>
      </w:r>
      <w:r>
        <w:t xml:space="preserve"> </w:t>
      </w:r>
      <w:r>
        <w:t xml:space="preserve">para MikroTik/OLT queues.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QoS:</w:t>
      </w:r>
      <w:r>
        <w:t xml:space="preserve"> </w:t>
      </w:r>
      <w:r>
        <w:rPr>
          <w:rStyle w:val="VerbatimChar"/>
        </w:rPr>
        <w:t xml:space="preserve">queue_priority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Perfiles OLT:</w:t>
      </w:r>
      <w:r>
        <w:t xml:space="preserve"> </w:t>
      </w:r>
      <w:r>
        <w:rPr>
          <w:rStyle w:val="VerbatimChar"/>
        </w:rPr>
        <w:t xml:space="preserve">traffic_profile_index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profile_radius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Configuración de Servicio: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service_type_id</w:t>
      </w:r>
      <w:r>
        <w:t xml:space="preserve">: Clasificación del servicio (Internet, VoIP, IPTV).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recurring_invoices_ok</w:t>
      </w:r>
      <w:r>
        <w:t xml:space="preserve">: Indica si este producto genera facturas recurrentes (suscripción).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Gestión de Hardware: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hardware_model_id</w:t>
      </w:r>
      <w:r>
        <w:t xml:space="preserve">: Vincula el producto comercial con una especificación de hardware (ej.</w:t>
      </w:r>
      <w:r>
        <w:t xml:space="preserve"> </w:t>
      </w:r>
      <w:r>
        <w:t xml:space="preserve">“</w:t>
      </w:r>
      <w:r>
        <w:t xml:space="preserve">Huawei HG8546M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product_brand_id</w:t>
      </w:r>
      <w:r>
        <w:t xml:space="preserve">: Marca del fabricante.</w:t>
      </w:r>
    </w:p>
    <w:bookmarkEnd w:id="22"/>
    <w:bookmarkStart w:id="23" w:name="modelos-auxiliares"/>
    <w:p>
      <w:pPr>
        <w:pStyle w:val="Heading3"/>
      </w:pPr>
      <w:r>
        <w:t xml:space="preserve">2.2. Modelos Auxiliares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product.brand</w:t>
      </w:r>
      <w:r>
        <w:rPr>
          <w:b/>
          <w:bCs/>
        </w:rPr>
        <w:t xml:space="preserve">:</w:t>
      </w:r>
      <w:r>
        <w:t xml:space="preserve"> </w:t>
      </w:r>
      <w:r>
        <w:t xml:space="preserve">Gestión de fabricantes (Huawei, ZTE, TP-Link).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silver.hardware.model</w:t>
      </w:r>
      <w:r>
        <w:rPr>
          <w:b/>
          <w:bCs/>
        </w:rPr>
        <w:t xml:space="preserve">:</w:t>
      </w:r>
      <w:r>
        <w:t xml:space="preserve"> </w:t>
      </w:r>
      <w:r>
        <w:t xml:space="preserve">Especificaciones técnicas de modelos de equipos.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silver.service.type</w:t>
      </w:r>
      <w:r>
        <w:rPr>
          <w:b/>
          <w:bCs/>
        </w:rPr>
        <w:t xml:space="preserve">:</w:t>
      </w:r>
      <w:r>
        <w:t xml:space="preserve"> </w:t>
      </w:r>
      <w:r>
        <w:t xml:space="preserve">Categorización de servicios (Internet, Instalación, TV).</w:t>
      </w:r>
    </w:p>
    <w:bookmarkEnd w:id="23"/>
    <w:bookmarkEnd w:id="24"/>
    <w:bookmarkStart w:id="25" w:name="relación-con-otros-módulos"/>
    <w:p>
      <w:pPr>
        <w:pStyle w:val="Heading2"/>
      </w:pPr>
      <w:r>
        <w:t xml:space="preserve">3. Relación con Otros Módulos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silver_contract</w:t>
      </w:r>
      <w:r>
        <w:rPr>
          <w:b/>
          <w:bCs/>
        </w:rPr>
        <w:t xml:space="preserve">:</w:t>
      </w:r>
      <w:r>
        <w:t xml:space="preserve"> </w:t>
      </w:r>
      <w:r>
        <w:t xml:space="preserve">Los contratos instancian estos productos. Al crear una línea de contrato, se copian o referencian los parámetros de velocidad definidos aquí.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silver_provisioning</w:t>
      </w:r>
      <w:r>
        <w:rPr>
          <w:b/>
          <w:bCs/>
        </w:rPr>
        <w:t xml:space="preserve">:</w:t>
      </w:r>
      <w:r>
        <w:t xml:space="preserve"> </w:t>
      </w:r>
      <w:r>
        <w:t xml:space="preserve">Al aprovisionar una ONU, el sistema lee el</w:t>
      </w:r>
      <w:r>
        <w:t xml:space="preserve"> </w:t>
      </w:r>
      <w:r>
        <w:rPr>
          <w:rStyle w:val="VerbatimChar"/>
        </w:rPr>
        <w:t xml:space="preserve">upload_bandwidth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download_bandwidth</w:t>
      </w:r>
      <w:r>
        <w:t xml:space="preserve"> </w:t>
      </w:r>
      <w:r>
        <w:t xml:space="preserve">del producto para configurar los Traffic Profiles o Service Profiles en la OLT.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stock</w:t>
      </w:r>
      <w:r>
        <w:rPr>
          <w:b/>
          <w:bCs/>
        </w:rPr>
        <w:t xml:space="preserve">:</w:t>
      </w:r>
      <w:r>
        <w:t xml:space="preserve"> </w:t>
      </w:r>
      <w:r>
        <w:t xml:space="preserve">Los productos de tipo hardware (</w:t>
      </w:r>
      <w:r>
        <w:rPr>
          <w:rStyle w:val="VerbatimChar"/>
        </w:rPr>
        <w:t xml:space="preserve">is_storable</w:t>
      </w:r>
      <w:r>
        <w:t xml:space="preserve">) se gestionan en el inventario estándar de Odoo (números de serie, lotes).</w:t>
      </w:r>
    </w:p>
    <w:bookmarkEnd w:id="25"/>
    <w:bookmarkStart w:id="26" w:name="instalación-y-dependencias"/>
    <w:p>
      <w:pPr>
        <w:pStyle w:val="Heading2"/>
      </w:pPr>
      <w:r>
        <w:t xml:space="preserve">4. Instalación y Dependencias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product</w:t>
      </w:r>
      <w:r>
        <w:t xml:space="preserve"> </w:t>
      </w:r>
      <w:r>
        <w:t xml:space="preserve">(Odoo estándar)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stock</w:t>
      </w:r>
      <w:r>
        <w:t xml:space="preserve"> </w:t>
      </w:r>
      <w:r>
        <w:t xml:space="preserve">(Para gestión de hardware)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silver_base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2025-12-02T17:27:21Z</dcterms:created>
  <dcterms:modified xsi:type="dcterms:W3CDTF">2025-12-02T17:27:21Z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