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9a6af2d8b9a0d8826bf0f568e3fddeb7d5ff720"/>
    <w:p>
      <w:pPr>
        <w:pStyle w:val="Heading1"/>
      </w:pPr>
      <w:r>
        <w:t xml:space="preserve">Documentación del Módulo: silver_provisioning</w:t>
      </w:r>
    </w:p>
    <w:bookmarkStart w:id="21" w:name="visión-general-y-estratégica"/>
    <w:p>
      <w:pPr>
        <w:pStyle w:val="Heading2"/>
      </w:pPr>
      <w:r>
        <w:t xml:space="preserve">1. Visión General y Estratégica</w:t>
      </w:r>
    </w:p>
    <w:p>
      <w:pPr>
        <w:pStyle w:val="FirstParagraph"/>
      </w:pPr>
      <w:r>
        <w:rPr>
          <w:b/>
          <w:bCs/>
        </w:rPr>
        <w:t xml:space="preserve">silver_provisioning</w:t>
      </w:r>
      <w:r>
        <w:t xml:space="preserve"> </w:t>
      </w:r>
      <w:r>
        <w:t xml:space="preserve">es el</w:t>
      </w:r>
      <w:r>
        <w:t xml:space="preserve"> </w:t>
      </w:r>
      <w:r>
        <w:t xml:space="preserve">“</w:t>
      </w:r>
      <w:r>
        <w:t xml:space="preserve">cerebro ejecutor</w:t>
      </w:r>
      <w:r>
        <w:t xml:space="preserve">”</w:t>
      </w:r>
      <w:r>
        <w:t xml:space="preserve"> </w:t>
      </w:r>
      <w:r>
        <w:t xml:space="preserve">de la suite ISP. Mientras que</w:t>
      </w:r>
      <w:r>
        <w:t xml:space="preserve"> </w:t>
      </w:r>
      <w:r>
        <w:rPr>
          <w:rStyle w:val="VerbatimChar"/>
        </w:rPr>
        <w:t xml:space="preserve">silver_network</w:t>
      </w:r>
      <w:r>
        <w:t xml:space="preserve"> </w:t>
      </w:r>
      <w:r>
        <w:t xml:space="preserve">define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equipos existen,</w:t>
      </w:r>
      <w:r>
        <w:t xml:space="preserve"> </w:t>
      </w:r>
      <w:r>
        <w:rPr>
          <w:rStyle w:val="VerbatimChar"/>
        </w:rPr>
        <w:t xml:space="preserve">silver_provisioning</w:t>
      </w:r>
      <w:r>
        <w:t xml:space="preserve"> </w:t>
      </w:r>
      <w:r>
        <w:t xml:space="preserve">define</w:t>
      </w:r>
      <w:r>
        <w:t xml:space="preserve"> </w:t>
      </w:r>
      <w:r>
        <w:rPr>
          <w:i/>
          <w:iCs/>
        </w:rPr>
        <w:t xml:space="preserve">cómo</w:t>
      </w:r>
      <w:r>
        <w:t xml:space="preserve"> </w:t>
      </w:r>
      <w:r>
        <w:t xml:space="preserve">hablar con ellos y</w:t>
      </w:r>
      <w:r>
        <w:t xml:space="preserve"> </w:t>
      </w:r>
      <w:r>
        <w:rPr>
          <w:i/>
          <w:iCs/>
        </w:rPr>
        <w:t xml:space="preserve">qué</w:t>
      </w:r>
      <w:r>
        <w:t xml:space="preserve"> </w:t>
      </w:r>
      <w:r>
        <w:t xml:space="preserve">hacer.</w:t>
      </w:r>
    </w:p>
    <w:p>
      <w:pPr>
        <w:pStyle w:val="BodyText"/>
      </w:pPr>
      <w:r>
        <w:t xml:space="preserve">Este módulo implementa la lógica de conexión (Telnet, SSH, API), los drivers por marca (Huawei, ZTE, V-SOL, Mikrotik) y las automatizaciones que configuran los equipos remotamente cuando ocurren eventos comerciales (ej. activar un contrato).</w:t>
      </w:r>
    </w:p>
    <w:bookmarkStart w:id="20" w:name="objetivos-técnicos"/>
    <w:p>
      <w:pPr>
        <w:pStyle w:val="Heading3"/>
      </w:pPr>
      <w:r>
        <w:t xml:space="preserve">1.1. Objetivos Técnicos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Abstracción de Hardware:</w:t>
      </w:r>
      <w:r>
        <w:t xml:space="preserve"> </w:t>
      </w:r>
      <w:r>
        <w:t xml:space="preserve">Permitir que los operadores activen servicios sin conocer los comandos CLI específicos de cada marca.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Automatización Zero-Touch:</w:t>
      </w:r>
      <w:r>
        <w:t xml:space="preserve"> </w:t>
      </w:r>
      <w:r>
        <w:t xml:space="preserve">Aprovisionar ONUs y configurar Routers automáticamente.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Sincronización Bidireccional:</w:t>
      </w:r>
      <w:r>
        <w:t xml:space="preserve"> </w:t>
      </w:r>
      <w:r>
        <w:t xml:space="preserve">Leer el estado real de la red (Discovery) y escribir la configuración deseada (Provisioning).</w:t>
      </w:r>
    </w:p>
    <w:bookmarkEnd w:id="20"/>
    <w:bookmarkEnd w:id="21"/>
    <w:bookmarkStart w:id="25" w:name="alcance-funcional"/>
    <w:p>
      <w:pPr>
        <w:pStyle w:val="Heading2"/>
      </w:pPr>
      <w:r>
        <w:t xml:space="preserve">2. Alcance Funcional</w:t>
      </w:r>
    </w:p>
    <w:bookmarkStart w:id="22" w:name="extensiones-a-silver.olt"/>
    <w:p>
      <w:pPr>
        <w:pStyle w:val="Heading3"/>
      </w:pPr>
      <w:r>
        <w:t xml:space="preserve">2.1. Extensiones a</w:t>
      </w:r>
      <w:r>
        <w:t xml:space="preserve"> </w:t>
      </w:r>
      <w:r>
        <w:rPr>
          <w:rStyle w:val="VerbatimChar"/>
        </w:rPr>
        <w:t xml:space="preserve">silver.olt</w:t>
      </w:r>
    </w:p>
    <w:p>
      <w:pPr>
        <w:pStyle w:val="FirstParagraph"/>
      </w:pPr>
      <w:r>
        <w:t xml:space="preserve">El módulo inyecta la lógica de control en el modelo de OLT definido en</w:t>
      </w:r>
      <w:r>
        <w:t xml:space="preserve"> </w:t>
      </w:r>
      <w:r>
        <w:rPr>
          <w:rStyle w:val="VerbatimChar"/>
        </w:rPr>
        <w:t xml:space="preserve">silver_network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Descubrimiento de ONUs (</w:t>
      </w:r>
      <w:r>
        <w:rPr>
          <w:rStyle w:val="VerbatimChar"/>
          <w:b/>
          <w:bCs/>
        </w:rPr>
        <w:t xml:space="preserve">action_discover_onus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3"/>
        </w:numPr>
      </w:pPr>
      <w:r>
        <w:t xml:space="preserve">Se conecta a la OLT.</w:t>
      </w:r>
    </w:p>
    <w:p>
      <w:pPr>
        <w:pStyle w:val="Compact"/>
        <w:numPr>
          <w:ilvl w:val="1"/>
          <w:numId w:val="1003"/>
        </w:numPr>
      </w:pPr>
      <w:r>
        <w:t xml:space="preserve">Ejecuta comandos de</w:t>
      </w:r>
      <w:r>
        <w:t xml:space="preserve"> </w:t>
      </w:r>
      <w:r>
        <w:t xml:space="preserve">“</w:t>
      </w:r>
      <w:r>
        <w:t xml:space="preserve">auto-find</w:t>
      </w:r>
      <w:r>
        <w:t xml:space="preserve">”</w:t>
      </w:r>
      <w:r>
        <w:t xml:space="preserve"> </w:t>
      </w:r>
      <w:r>
        <w:t xml:space="preserve">(ej.</w:t>
      </w:r>
      <w:r>
        <w:t xml:space="preserve"> </w:t>
      </w:r>
      <w:r>
        <w:rPr>
          <w:rStyle w:val="VerbatimChar"/>
        </w:rPr>
        <w:t xml:space="preserve">show onu auto-find</w:t>
      </w:r>
      <w:r>
        <w:t xml:space="preserve">).</w:t>
      </w:r>
    </w:p>
    <w:p>
      <w:pPr>
        <w:pStyle w:val="Compact"/>
        <w:numPr>
          <w:ilvl w:val="1"/>
          <w:numId w:val="1003"/>
        </w:numPr>
      </w:pPr>
      <w:r>
        <w:t xml:space="preserve">Parsea la salida de texto crudo.</w:t>
      </w:r>
    </w:p>
    <w:p>
      <w:pPr>
        <w:pStyle w:val="Compact"/>
        <w:numPr>
          <w:ilvl w:val="1"/>
          <w:numId w:val="1003"/>
        </w:numPr>
      </w:pPr>
      <w:r>
        <w:t xml:space="preserve">Crea o actualiza registros en</w:t>
      </w:r>
      <w:r>
        <w:t xml:space="preserve"> </w:t>
      </w:r>
      <w:r>
        <w:rPr>
          <w:rStyle w:val="VerbatimChar"/>
        </w:rPr>
        <w:t xml:space="preserve">silver.olt.discovered.onu</w:t>
      </w:r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Filtra ONUs ya aprovisionadas para mostrar solo las nuevas.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Sincronización Manual (</w:t>
      </w:r>
      <w:r>
        <w:rPr>
          <w:rStyle w:val="VerbatimChar"/>
          <w:b/>
          <w:bCs/>
        </w:rPr>
        <w:t xml:space="preserve">action_sync_olt_manual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4"/>
        </w:numPr>
      </w:pPr>
      <w:r>
        <w:t xml:space="preserve">Aplica cambios masivos de configuración (ej. cambiar DNS, perfiles de velocidad) a todas las ONUs activas de una OLT.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Métodos de Aprovisionamiento (</w:t>
      </w:r>
      <w:r>
        <w:rPr>
          <w:rStyle w:val="VerbatimChar"/>
          <w:b/>
          <w:bCs/>
        </w:rPr>
        <w:t xml:space="preserve">_provision_onu_*</w:t>
      </w:r>
      <w:r>
        <w:rPr>
          <w:b/>
          <w:bCs/>
        </w:rPr>
        <w:t xml:space="preserve">):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_provision_onu_base</w:t>
      </w:r>
      <w:r>
        <w:t xml:space="preserve">: Asocia la ONU al puerto PON, asigna TCONT, Gemport y VLANs.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_provision_onu_wan</w:t>
      </w:r>
      <w:r>
        <w:t xml:space="preserve">: Configura la WAN IP (PPPoE/DHCP/Static) dentro de la ONU (Tr-069/OMCI).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_provision_onu_wifi</w:t>
      </w:r>
      <w:r>
        <w:t xml:space="preserve">: Configura SSID y Password remotamente.</w:t>
      </w:r>
    </w:p>
    <w:bookmarkEnd w:id="22"/>
    <w:bookmarkStart w:id="23" w:name="gestión-de-comandos-y-logs"/>
    <w:p>
      <w:pPr>
        <w:pStyle w:val="Heading3"/>
      </w:pPr>
      <w:r>
        <w:t xml:space="preserve">2.2. Gestión de Comandos y Logs</w:t>
      </w:r>
    </w:p>
    <w:p>
      <w:pPr>
        <w:pStyle w:val="FirstParagraph"/>
      </w:pPr>
      <w:r>
        <w:t xml:space="preserve">El método</w:t>
      </w:r>
      <w:r>
        <w:t xml:space="preserve"> </w:t>
      </w:r>
      <w:r>
        <w:rPr>
          <w:rStyle w:val="VerbatimChar"/>
        </w:rPr>
        <w:t xml:space="preserve">_execute_with_logging</w:t>
      </w:r>
      <w:r>
        <w:t xml:space="preserve"> </w:t>
      </w:r>
      <w:r>
        <w:t xml:space="preserve">es el núcleo transaccional:</w:t>
      </w:r>
      <w:r>
        <w:t xml:space="preserve"> </w:t>
      </w:r>
      <w:r>
        <w:t xml:space="preserve">1. Abre conexión con el driver adecuado.</w:t>
      </w:r>
      <w:r>
        <w:t xml:space="preserve"> </w:t>
      </w:r>
      <w:r>
        <w:t xml:space="preserve">2. Envía la secuencia de comandos.</w:t>
      </w:r>
      <w:r>
        <w:t xml:space="preserve"> </w:t>
      </w:r>
      <w:r>
        <w:t xml:space="preserve">3. Captura la respuesta.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Logging:</w:t>
      </w:r>
      <w:r>
        <w:t xml:space="preserve"> </w:t>
      </w:r>
      <w:r>
        <w:t xml:space="preserve">Escribe un registro detallado (comando enviado + respuesta recibida) en el Chatter (muro de mensajes) del contrato asociado. Esto es vital para auditoría y debugging.</w:t>
      </w:r>
      <w:r>
        <w:t xml:space="preserve"> </w:t>
      </w:r>
      <w:r>
        <w:t xml:space="preserve">5. Manejo de Errores: Si un comando falla, intenta un rollback o lanza una excepción clara al usuario.</w:t>
      </w:r>
    </w:p>
    <w:bookmarkEnd w:id="23"/>
    <w:bookmarkStart w:id="24" w:name="modelos-de-soporte"/>
    <w:p>
      <w:pPr>
        <w:pStyle w:val="Heading3"/>
      </w:pPr>
      <w:r>
        <w:t xml:space="preserve">2.3. Modelos de Soporte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silver.olt.discovered.onu</w:t>
      </w:r>
      <w:r>
        <w:rPr>
          <w:b/>
          <w:bCs/>
        </w:rPr>
        <w:t xml:space="preserve">:</w:t>
      </w:r>
      <w:r>
        <w:t xml:space="preserve"> </w:t>
      </w:r>
      <w:r>
        <w:t xml:space="preserve">Tabla temporal para ONUs conectadas físicamente pero no dadas de alta en el 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Wizards:</w:t>
      </w:r>
      <w:r>
        <w:t xml:space="preserve"> </w:t>
      </w:r>
      <w:r>
        <w:t xml:space="preserve">Asistentes para seleccionar una ONU descubierta y asignarla a un contrato.</w:t>
      </w:r>
    </w:p>
    <w:bookmarkEnd w:id="24"/>
    <w:bookmarkEnd w:id="25"/>
    <w:bookmarkStart w:id="28" w:name="flujos-de-trabajo-críticos"/>
    <w:p>
      <w:pPr>
        <w:pStyle w:val="Heading2"/>
      </w:pPr>
      <w:r>
        <w:t xml:space="preserve">3. Flujos de Trabajo Críticos</w:t>
      </w:r>
    </w:p>
    <w:bookmarkStart w:id="26" w:name="alta-de-servicio-provisioning"/>
    <w:p>
      <w:pPr>
        <w:pStyle w:val="Heading3"/>
      </w:pPr>
      <w:r>
        <w:t xml:space="preserve">3.1. Alta de Servicio (Provisioning)</w:t>
      </w:r>
    </w:p>
    <w:p>
      <w:pPr>
        <w:pStyle w:val="Compact"/>
        <w:numPr>
          <w:ilvl w:val="0"/>
          <w:numId w:val="1007"/>
        </w:numPr>
      </w:pPr>
      <w:r>
        <w:t xml:space="preserve">Desde el contrato (</w:t>
      </w:r>
      <w:r>
        <w:rPr>
          <w:rStyle w:val="VerbatimChar"/>
        </w:rPr>
        <w:t xml:space="preserve">silver.contract</w:t>
      </w:r>
      <w:r>
        <w:t xml:space="preserve">), se selecciona</w:t>
      </w:r>
      <w:r>
        <w:t xml:space="preserve"> </w:t>
      </w:r>
      <w:r>
        <w:t xml:space="preserve">“</w:t>
      </w:r>
      <w:r>
        <w:t xml:space="preserve">Activar</w:t>
      </w:r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El sistema busca una ONU descubierta (o permite ingresar serial manual).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silver_provisioning</w:t>
      </w:r>
      <w:r>
        <w:t xml:space="preserve"> </w:t>
      </w:r>
      <w:r>
        <w:t xml:space="preserve">se conecta a la OLT.</w:t>
      </w:r>
    </w:p>
    <w:p>
      <w:pPr>
        <w:pStyle w:val="Compact"/>
        <w:numPr>
          <w:ilvl w:val="0"/>
          <w:numId w:val="1007"/>
        </w:numPr>
      </w:pPr>
      <w:r>
        <w:t xml:space="preserve">Ejecuta la secuencia de alta (Profile -&gt; Tcont -&gt; Gemport -&gt; Service Port).</w:t>
      </w:r>
    </w:p>
    <w:p>
      <w:pPr>
        <w:pStyle w:val="Compact"/>
        <w:numPr>
          <w:ilvl w:val="0"/>
          <w:numId w:val="1007"/>
        </w:numPr>
      </w:pPr>
      <w:r>
        <w:t xml:space="preserve">Si es exitoso, cambia el estado del contrato a</w:t>
      </w:r>
      <w:r>
        <w:t xml:space="preserve"> </w:t>
      </w:r>
      <w:r>
        <w:t xml:space="preserve">“</w:t>
      </w:r>
      <w:r>
        <w:t xml:space="preserve">Activo</w:t>
      </w:r>
      <w:r>
        <w:t xml:space="preserve">”</w:t>
      </w:r>
      <w:r>
        <w:t xml:space="preserve"> </w:t>
      </w:r>
      <w:r>
        <w:t xml:space="preserve">y guarda el log.</w:t>
      </w:r>
    </w:p>
    <w:bookmarkEnd w:id="26"/>
    <w:bookmarkStart w:id="27" w:name="corte-y-reconexión"/>
    <w:p>
      <w:pPr>
        <w:pStyle w:val="Heading3"/>
      </w:pPr>
      <w:r>
        <w:t xml:space="preserve">3.2. Corte y Reconexión</w:t>
      </w:r>
    </w:p>
    <w:p>
      <w:pPr>
        <w:pStyle w:val="Compact"/>
        <w:numPr>
          <w:ilvl w:val="0"/>
          <w:numId w:val="1008"/>
        </w:numPr>
      </w:pPr>
      <w:r>
        <w:t xml:space="preserve">Al suspender un contrato, se invoca</w:t>
      </w:r>
      <w:r>
        <w:t xml:space="preserve"> </w:t>
      </w:r>
      <w:r>
        <w:rPr>
          <w:rStyle w:val="VerbatimChar"/>
        </w:rPr>
        <w:t xml:space="preserve">disable_onu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módulo envía el comando de desactivación administrativa al puerto de la ONU.</w:t>
      </w:r>
    </w:p>
    <w:p>
      <w:pPr>
        <w:pStyle w:val="Compact"/>
        <w:numPr>
          <w:ilvl w:val="0"/>
          <w:numId w:val="1008"/>
        </w:numPr>
      </w:pPr>
      <w:r>
        <w:t xml:space="preserve">Al reactivar, se envía el comando inverso.</w:t>
      </w:r>
    </w:p>
    <w:bookmarkEnd w:id="27"/>
    <w:bookmarkEnd w:id="28"/>
    <w:bookmarkStart w:id="29" w:name="instalación-y-dependencias"/>
    <w:p>
      <w:pPr>
        <w:pStyle w:val="Heading2"/>
      </w:pPr>
      <w:r>
        <w:t xml:space="preserve">4. Instalación y Dependencias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Dependencias: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silver_network</w:t>
      </w:r>
      <w:r>
        <w:t xml:space="preserve"> </w:t>
      </w:r>
      <w:r>
        <w:t xml:space="preserve">(Hereda sus modelos).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silver_contract</w:t>
      </w:r>
      <w:r>
        <w:t xml:space="preserve"> </w:t>
      </w:r>
      <w:r>
        <w:t xml:space="preserve">(Interactúa con el estado del contrato).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Librerías Python:</w:t>
      </w:r>
      <w:r>
        <w:t xml:space="preserve"> </w:t>
      </w:r>
      <w:r>
        <w:t xml:space="preserve">Requiere</w:t>
      </w:r>
      <w:r>
        <w:t xml:space="preserve"> </w:t>
      </w:r>
      <w:r>
        <w:rPr>
          <w:rStyle w:val="VerbatimChar"/>
        </w:rPr>
        <w:t xml:space="preserve">paramiko</w:t>
      </w:r>
      <w:r>
        <w:t xml:space="preserve"> </w:t>
      </w:r>
      <w:r>
        <w:t xml:space="preserve">o librerías similares para conexiones SSH/Telnet (generalmente manejadas en</w:t>
      </w:r>
      <w:r>
        <w:t xml:space="preserve"> </w:t>
      </w:r>
      <w:r>
        <w:rPr>
          <w:rStyle w:val="VerbatimChar"/>
        </w:rPr>
        <w:t xml:space="preserve">silver_netdev</w:t>
      </w:r>
      <w:r>
        <w:t xml:space="preserve">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2025-12-02T17:27:10Z</dcterms:created>
  <dcterms:modified xsi:type="dcterms:W3CDTF">2025-12-02T17:27:10Z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