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" w:line="276" w:lineRule="auto"/>
        <w:rPr>
          <w:rFonts w:ascii="Courier New" w:cs="Courier New" w:eastAsia="Courier New" w:hAnsi="Courier New"/>
          <w:b w:val="1"/>
        </w:rPr>
      </w:pPr>
      <w:bookmarkStart w:colFirst="0" w:colLast="0" w:name="_1izfq2g34owv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Documentación del Subproyecto: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silver_isp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(Infraestructura)</w:t>
      </w:r>
    </w:p>
    <w:p w:rsidR="00000000" w:rsidDel="00000000" w:rsidP="00000000" w:rsidRDefault="00000000" w:rsidRPr="00000000" w14:paraId="00000002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Versión documento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1.0 — 10/9/2025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17"/>
        </w:numPr>
        <w:pBdr>
          <w:bottom w:color="ecf0f1" w:space="7" w:sz="10" w:val="single"/>
        </w:pBdr>
        <w:shd w:fill="ffffff" w:val="clear"/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color w:val="2c3e50"/>
          <w:sz w:val="36"/>
          <w:szCs w:val="36"/>
        </w:rPr>
      </w:pPr>
      <w:bookmarkStart w:colFirst="0" w:colLast="0" w:name="_1kyjbpiu4fsb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2c3e50"/>
          <w:sz w:val="36"/>
          <w:szCs w:val="36"/>
          <w:rtl w:val="0"/>
        </w:rPr>
        <w:t xml:space="preserve">Visión General y Estratégica</w:t>
      </w:r>
    </w:p>
    <w:p w:rsidR="00000000" w:rsidDel="00000000" w:rsidP="00000000" w:rsidRDefault="00000000" w:rsidRPr="00000000" w14:paraId="00000004">
      <w:pPr>
        <w:shd w:fill="ffffff" w:val="clear"/>
        <w:spacing w:after="0" w:before="20" w:line="276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Este documento proporciona una descripción técnica y funcional completa del módulo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cf0f1" w:val="clear"/>
          <w:rtl w:val="0"/>
        </w:rPr>
        <w:t xml:space="preserve">silver_isp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 Su propósito es servir como referencia para desarrolladores, administradores de sistemas y gerentes de proyecto involucrados en su implementación, mantenimiento y evolución.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1"/>
          <w:numId w:val="17"/>
        </w:numPr>
        <w:pBdr>
          <w:bottom w:color="ecf0f1" w:space="7" w:sz="5" w:val="single"/>
        </w:pBdr>
        <w:shd w:fill="ffffff" w:val="clear"/>
        <w:spacing w:after="0" w:before="20" w:line="276" w:lineRule="auto"/>
        <w:ind w:left="1440" w:hanging="360"/>
        <w:rPr>
          <w:rFonts w:ascii="Courier New" w:cs="Courier New" w:eastAsia="Courier New" w:hAnsi="Courier New"/>
          <w:b w:val="1"/>
          <w:color w:val="2c3e50"/>
          <w:sz w:val="31"/>
          <w:szCs w:val="31"/>
        </w:rPr>
      </w:pPr>
      <w:bookmarkStart w:colFirst="0" w:colLast="0" w:name="_q0bm1c14f7g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2c3e50"/>
          <w:sz w:val="31"/>
          <w:szCs w:val="31"/>
          <w:rtl w:val="0"/>
        </w:rPr>
        <w:t xml:space="preserve">Objetivos de Negocio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hd w:fill="ffffff" w:val="clear"/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Centralizar el Inventario de Red: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Crear un registro único y fiable de todos los activos de red.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hd w:fill="ffffff" w:val="clear"/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Automatizar el Aprovisionamiento: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Facilitar la configuración y activación de servicios para nuevos clientes.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hd w:fill="ffffff" w:val="clear"/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Mejorar la Visibilidad de la Red: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Ofrecer herramientas de visualización y mapeo de la infraestructura.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hd w:fill="ffffff" w:val="clear"/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Gestionar el Ciclo de Vida del Cliente: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Controlar el proceso completo desde el contrato hasta la baja del servicio.</w:t>
      </w:r>
    </w:p>
    <w:p w:rsidR="00000000" w:rsidDel="00000000" w:rsidP="00000000" w:rsidRDefault="00000000" w:rsidRPr="00000000" w14:paraId="0000000A">
      <w:pPr>
        <w:shd w:fill="ffffff" w:val="clear"/>
        <w:spacing w:after="0" w:before="20" w:line="276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1"/>
          <w:numId w:val="17"/>
        </w:numPr>
        <w:pBdr>
          <w:bottom w:color="ecf0f1" w:space="7" w:sz="5" w:val="single"/>
        </w:pBdr>
        <w:shd w:fill="ffffff" w:val="clear"/>
        <w:spacing w:after="0" w:before="20" w:line="276" w:lineRule="auto"/>
        <w:ind w:left="1440" w:hanging="360"/>
        <w:rPr>
          <w:rFonts w:ascii="Courier New" w:cs="Courier New" w:eastAsia="Courier New" w:hAnsi="Courier New"/>
          <w:b w:val="1"/>
          <w:color w:val="2c3e50"/>
          <w:sz w:val="33"/>
          <w:szCs w:val="33"/>
        </w:rPr>
      </w:pPr>
      <w:bookmarkStart w:colFirst="0" w:colLast="0" w:name="_2oat8zslx59o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2c3e50"/>
          <w:sz w:val="33"/>
          <w:szCs w:val="33"/>
          <w:rtl w:val="0"/>
        </w:rPr>
        <w:t xml:space="preserve">Roles y Responsabilidades</w:t>
      </w:r>
    </w:p>
    <w:p w:rsidR="00000000" w:rsidDel="00000000" w:rsidP="00000000" w:rsidRDefault="00000000" w:rsidRPr="00000000" w14:paraId="0000000C">
      <w:pPr>
        <w:shd w:fill="ffffff" w:val="clear"/>
        <w:spacing w:after="0" w:before="20" w:line="276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A continuación se definen los roles clave para el éxito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ffffff" w:val="clear"/>
        <w:spacing w:after="0" w:before="20"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Jefe de Proyecto (Cliente):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Carolina Istúriz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hd w:fill="ffffff" w:val="clear"/>
        <w:spacing w:after="0" w:before="20"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Administrador de Red Principal: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Luis Mora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hd w:fill="ffffff" w:val="clear"/>
        <w:spacing w:after="0" w:before="20"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Responsable de Contratos y Clientes: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Luis Mora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hd w:fill="ffffff" w:val="clear"/>
        <w:spacing w:after="0" w:before="20"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Líder Técnico (Implementador):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Sergio Velásquez Zeballos</w:t>
      </w:r>
    </w:p>
    <w:p w:rsidR="00000000" w:rsidDel="00000000" w:rsidP="00000000" w:rsidRDefault="00000000" w:rsidRPr="00000000" w14:paraId="00000011">
      <w:pPr>
        <w:shd w:fill="ffffff" w:val="clear"/>
        <w:spacing w:after="0" w:before="20" w:line="276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7"/>
        </w:numPr>
        <w:shd w:fill="ffffff" w:val="clear"/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color w:val="2c3e50"/>
          <w:sz w:val="36"/>
          <w:szCs w:val="36"/>
        </w:rPr>
      </w:pPr>
      <w:bookmarkStart w:colFirst="0" w:colLast="0" w:name="_45cdlcxnv8kl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2c3e50"/>
          <w:sz w:val="36"/>
          <w:szCs w:val="36"/>
          <w:rtl w:val="0"/>
        </w:rPr>
        <w:t xml:space="preserve">Alcance funcional</w:t>
      </w:r>
    </w:p>
    <w:p w:rsidR="00000000" w:rsidDel="00000000" w:rsidP="00000000" w:rsidRDefault="00000000" w:rsidRPr="00000000" w14:paraId="00000013">
      <w:pPr>
        <w:shd w:fill="ffffff" w:val="clear"/>
        <w:spacing w:after="0" w:before="20" w:line="276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Inventario jerárquico:</w:t>
      </w:r>
      <w:r w:rsidDel="00000000" w:rsidR="00000000" w:rsidRPr="00000000">
        <w:rPr>
          <w:rFonts w:ascii="Fira Mono" w:cs="Fira Mono" w:eastAsia="Fira Mono" w:hAnsi="Fira Mono"/>
          <w:color w:val="333333"/>
          <w:rtl w:val="0"/>
        </w:rPr>
        <w:t xml:space="preserve"> isp.zone → isp.node → isp.post → isp.box → isp.splitter.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Modelado de OLTs y su estructura:</w:t>
      </w:r>
      <w:r w:rsidDel="00000000" w:rsidR="00000000" w:rsidRPr="00000000">
        <w:rPr>
          <w:rFonts w:ascii="Fira Mono" w:cs="Fira Mono" w:eastAsia="Fira Mono" w:hAnsi="Fira Mono"/>
          <w:color w:val="333333"/>
          <w:rtl w:val="0"/>
        </w:rPr>
        <w:t xml:space="preserve"> isp.olt → isp.olt.card → isp.olt.card.port.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Gestión de dispositivos de red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(netdev)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y RADIUS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(isp.radius, isp.radius.user, wizards de NAS/CoA).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Contratos ligados a puertos/splitters: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isp_contract se enlaza con puertos/ splitters y genera usuarios RADIUS.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Endpoints HTTP para topología: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controller que devuelve estructura JSON (usado por mapeo).</w:t>
      </w:r>
    </w:p>
    <w:p w:rsidR="00000000" w:rsidDel="00000000" w:rsidP="00000000" w:rsidRDefault="00000000" w:rsidRPr="00000000" w14:paraId="00000019">
      <w:pPr>
        <w:shd w:fill="ffffff" w:val="clear"/>
        <w:spacing w:after="0" w:before="20" w:line="276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17"/>
        </w:numPr>
        <w:shd w:fill="ffffff" w:val="clear"/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color w:val="2c3e50"/>
          <w:sz w:val="36"/>
          <w:szCs w:val="36"/>
        </w:rPr>
      </w:pPr>
      <w:bookmarkStart w:colFirst="0" w:colLast="0" w:name="_symt6f71mabo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2c3e50"/>
          <w:sz w:val="36"/>
          <w:szCs w:val="36"/>
          <w:rtl w:val="0"/>
        </w:rPr>
        <w:t xml:space="preserve">Arquitectura general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Usuarios / Frontend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Técnicos NetOps (mapa de red, provisión ONUs, tickets).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Administradores/gerencia (reportes, KPIs de saturación).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Integraciones externas (WhatsApp → Tickets, CRM → Contratos).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Capa de aplicación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Odoo + módulos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silver_isp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(models, wizards, controllers).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Modelos principales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Activos físicos: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isp.zone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isp.node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isp.post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isp.box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isp.splitter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Red activa: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isp.olt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isp.olt.card.port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isp.netdev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Servicios: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isp.contract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isp.radius.user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Wizards y controladores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/network/nodes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(mapa de red).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Wizards RADIUS (NAS, disconnect, client).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spacing w:after="0" w:before="20" w:line="276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Reglas de negocio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validación de factibilidad, provisión automática, suspensión por morosidad.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Persistencia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PostgreSQL (estándar Odoo).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Integraciones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autenticación, autorización y accounting.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Equipos de red (OLT, routers, APs)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vía SSH/API.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Sistemas de soporte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(WhatsApp/Helpdesk).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Despliegue recomendado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git + proxy inverso (NGINX) + vault .</w:t>
      </w:r>
    </w:p>
    <w:p w:rsidR="00000000" w:rsidDel="00000000" w:rsidP="00000000" w:rsidRDefault="00000000" w:rsidRPr="00000000" w14:paraId="0000002F">
      <w:pPr>
        <w:shd w:fill="ffffff" w:val="clear"/>
        <w:spacing w:after="0" w:before="20" w:line="276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7"/>
        </w:numPr>
        <w:shd w:fill="ffffff" w:val="clear"/>
        <w:spacing w:before="20" w:lineRule="auto"/>
        <w:ind w:left="720" w:hanging="360"/>
        <w:rPr>
          <w:rFonts w:ascii="Courier New" w:cs="Courier New" w:eastAsia="Courier New" w:hAnsi="Courier New"/>
          <w:b w:val="1"/>
          <w:sz w:val="36"/>
          <w:szCs w:val="36"/>
        </w:rPr>
      </w:pPr>
      <w:bookmarkStart w:colFirst="0" w:colLast="0" w:name="_lnez0atgxgqz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Indicadores KPI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Los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KPI de infraestructura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que se pueden medir directamente desde el módulo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silver_isp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se agrupan en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capacidad, calidad operativa, soporte y seguridad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 Aquí van los más relevantes: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17"/>
        </w:numPr>
        <w:shd w:fill="ffffff" w:val="clear"/>
        <w:spacing w:after="0" w:afterAutospacing="0" w:before="280" w:lineRule="auto"/>
        <w:ind w:left="1440" w:hanging="360"/>
        <w:rPr>
          <w:rFonts w:ascii="Courier New" w:cs="Courier New" w:eastAsia="Courier New" w:hAnsi="Courier New"/>
          <w:b w:val="1"/>
          <w:color w:val="333333"/>
        </w:rPr>
      </w:pPr>
      <w:bookmarkStart w:colFirst="0" w:colLast="0" w:name="_e217w3kapi9b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KPIs de capacidad y uso</w:t>
      </w:r>
    </w:p>
    <w:p w:rsidR="00000000" w:rsidDel="00000000" w:rsidP="00000000" w:rsidRDefault="00000000" w:rsidRPr="00000000" w14:paraId="00000033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% de puertos OLT ocupados</w:t>
      </w:r>
    </w:p>
    <w:p w:rsidR="00000000" w:rsidDel="00000000" w:rsidP="00000000" w:rsidRDefault="00000000" w:rsidRPr="00000000" w14:paraId="00000034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(puertos usados / puertos totales) * 100</w:t>
      </w:r>
    </w:p>
    <w:p w:rsidR="00000000" w:rsidDel="00000000" w:rsidP="00000000" w:rsidRDefault="00000000" w:rsidRPr="00000000" w14:paraId="00000035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Campo: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capacity_usage_port_pon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isp.olt.card.port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% de splitters ocupados</w:t>
      </w:r>
    </w:p>
    <w:p w:rsidR="00000000" w:rsidDel="00000000" w:rsidP="00000000" w:rsidRDefault="00000000" w:rsidRPr="00000000" w14:paraId="00000037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(contratos activos / capacidad del splitter) * 100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Campos: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contracts_count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isp.splitter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Disponibilidad de zonas/nodos</w:t>
      </w:r>
    </w:p>
    <w:p w:rsidR="00000000" w:rsidDel="00000000" w:rsidP="00000000" w:rsidRDefault="00000000" w:rsidRPr="00000000" w14:paraId="0000003A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Número de nodos activos por zona (</w:t>
      </w: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isp.zone → isp.node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Inventario de CPEs / ONUs libres vs asignados</w:t>
      </w:r>
    </w:p>
    <w:p w:rsidR="00000000" w:rsidDel="00000000" w:rsidP="00000000" w:rsidRDefault="00000000" w:rsidRPr="00000000" w14:paraId="0000003C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Conteo 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isp.onu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y contratos que los usan.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b w:val="1"/>
          <w:color w:val="333333"/>
        </w:rPr>
      </w:pPr>
      <w:bookmarkStart w:colFirst="0" w:colLast="0" w:name="_9c2pmrbdn80u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KPIs de provisión y operación</w:t>
      </w:r>
    </w:p>
    <w:p w:rsidR="00000000" w:rsidDel="00000000" w:rsidP="00000000" w:rsidRDefault="00000000" w:rsidRPr="00000000" w14:paraId="0000003E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Tasa de éxito en provisión automática</w:t>
      </w:r>
    </w:p>
    <w:p w:rsidR="00000000" w:rsidDel="00000000" w:rsidP="00000000" w:rsidRDefault="00000000" w:rsidRPr="00000000" w14:paraId="0000003F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(provisiones exitosas / total de intentos) * 100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Fuente: logs de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isp.netdev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y workers NetOps.</w:t>
      </w:r>
    </w:p>
    <w:p w:rsidR="00000000" w:rsidDel="00000000" w:rsidP="00000000" w:rsidRDefault="00000000" w:rsidRPr="00000000" w14:paraId="00000041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Tiempo medio de provisión (MTTP)</w:t>
      </w:r>
    </w:p>
    <w:p w:rsidR="00000000" w:rsidDel="00000000" w:rsidP="00000000" w:rsidRDefault="00000000" w:rsidRPr="00000000" w14:paraId="00000042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Minutos entre la creación de contrato y el alta efectiva en RADIUS/OLT.</w:t>
      </w:r>
    </w:p>
    <w:p w:rsidR="00000000" w:rsidDel="00000000" w:rsidP="00000000" w:rsidRDefault="00000000" w:rsidRPr="00000000" w14:paraId="00000043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Errores de capacidad (overbooking evitado)</w:t>
      </w:r>
    </w:p>
    <w:p w:rsidR="00000000" w:rsidDel="00000000" w:rsidP="00000000" w:rsidRDefault="00000000" w:rsidRPr="00000000" w14:paraId="00000044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Intentos fallidos de asignar contrato a puerto/splitter saturado.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KPIs de soporte</w:t>
      </w:r>
    </w:p>
    <w:p w:rsidR="00000000" w:rsidDel="00000000" w:rsidP="00000000" w:rsidRDefault="00000000" w:rsidRPr="00000000" w14:paraId="00000046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Incidencias por nodo/zona</w:t>
      </w:r>
    </w:p>
    <w:p w:rsidR="00000000" w:rsidDel="00000000" w:rsidP="00000000" w:rsidRDefault="00000000" w:rsidRPr="00000000" w14:paraId="00000047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Tickets vinculados a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isp.node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isp.zone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Tiempo medio de resolución de incidencias (MTTR)</w:t>
      </w:r>
    </w:p>
    <w:p w:rsidR="00000000" w:rsidDel="00000000" w:rsidP="00000000" w:rsidRDefault="00000000" w:rsidRPr="00000000" w14:paraId="00000049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Desde creación de ticket hasta cierre.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Porcentaje de suspensiones automáticas vs manuales</w:t>
      </w:r>
    </w:p>
    <w:p w:rsidR="00000000" w:rsidDel="00000000" w:rsidP="00000000" w:rsidRDefault="00000000" w:rsidRPr="00000000" w14:paraId="0000004B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Campo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is_cutoff_port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en puertos + registros CoA.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1"/>
          <w:numId w:val="17"/>
        </w:numP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b w:val="1"/>
          <w:color w:val="333333"/>
        </w:rPr>
      </w:pPr>
      <w:bookmarkStart w:colFirst="0" w:colLast="0" w:name="_hocnallazhzj" w:id="9"/>
      <w:bookmarkEnd w:id="9"/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KPIs de seguridad / cumplimiento</w:t>
      </w:r>
    </w:p>
    <w:p w:rsidR="00000000" w:rsidDel="00000000" w:rsidP="00000000" w:rsidRDefault="00000000" w:rsidRPr="00000000" w14:paraId="0000004D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Credenciales migradas a Vault</w:t>
      </w:r>
    </w:p>
    <w:p w:rsidR="00000000" w:rsidDel="00000000" w:rsidP="00000000" w:rsidRDefault="00000000" w:rsidRPr="00000000" w14:paraId="0000004E">
      <w:pPr>
        <w:numPr>
          <w:ilvl w:val="3"/>
          <w:numId w:val="17"/>
        </w:numP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% dispositivos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isp.netdev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) sin password en claro.</w:t>
      </w:r>
    </w:p>
    <w:p w:rsidR="00000000" w:rsidDel="00000000" w:rsidP="00000000" w:rsidRDefault="00000000" w:rsidRPr="00000000" w14:paraId="0000004F">
      <w:pPr>
        <w:numPr>
          <w:ilvl w:val="2"/>
          <w:numId w:val="17"/>
        </w:numPr>
        <w:shd w:fill="ffffff" w:val="clear"/>
        <w:spacing w:after="0" w:afterAutospacing="0" w:before="0" w:beforeAutospacing="0" w:lineRule="auto"/>
        <w:ind w:left="216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Trazabilidad de desconexiones RADIUS (CoA)</w:t>
      </w:r>
    </w:p>
    <w:p w:rsidR="00000000" w:rsidDel="00000000" w:rsidP="00000000" w:rsidRDefault="00000000" w:rsidRPr="00000000" w14:paraId="00000050">
      <w:pPr>
        <w:numPr>
          <w:ilvl w:val="3"/>
          <w:numId w:val="17"/>
        </w:numPr>
        <w:shd w:fill="ffffff" w:val="clear"/>
        <w:spacing w:after="240" w:before="0" w:beforeAutospacing="0" w:lineRule="auto"/>
        <w:ind w:left="288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% de operaciones con log correcto 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exec_log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Estos KPIs se pueden montar en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dashboards Odoo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o alimentar a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Grafana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  <w:br w:type="textWrapping"/>
        <w:t xml:space="preserve"> Los más estratégicos para gerencia son: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% puertos OLT libres,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% splitters ocupados,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MTTR (soporte),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Tasa de éxito en provisión automática.</w:t>
      </w:r>
    </w:p>
    <w:p w:rsidR="00000000" w:rsidDel="00000000" w:rsidP="00000000" w:rsidRDefault="00000000" w:rsidRPr="00000000" w14:paraId="00000056">
      <w:pPr>
        <w:shd w:fill="ffffff" w:val="clear"/>
        <w:spacing w:after="0" w:before="20" w:line="276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before="20" w:line="276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0"/>
          <w:numId w:val="17"/>
        </w:numPr>
        <w:shd w:fill="ffffff" w:val="clear"/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color w:val="2c3e50"/>
          <w:sz w:val="36"/>
          <w:szCs w:val="36"/>
        </w:rPr>
      </w:pPr>
      <w:bookmarkStart w:colFirst="0" w:colLast="0" w:name="_laln38earel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color w:val="2c3e50"/>
          <w:sz w:val="36"/>
          <w:szCs w:val="36"/>
          <w:rtl w:val="0"/>
        </w:rPr>
        <w:t xml:space="preserve">Modelos </w:t>
      </w:r>
    </w:p>
    <w:p w:rsidR="00000000" w:rsidDel="00000000" w:rsidP="00000000" w:rsidRDefault="00000000" w:rsidRPr="00000000" w14:paraId="00000059">
      <w:pPr>
        <w:shd w:fill="ffffff" w:val="clear"/>
        <w:spacing w:after="0" w:before="20" w:line="276" w:lineRule="auto"/>
        <w:ind w:left="600" w:right="60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Añado aquí el nombre del modelo y su propósito principal. </w:t>
      </w:r>
    </w:p>
    <w:p w:rsidR="00000000" w:rsidDel="00000000" w:rsidP="00000000" w:rsidRDefault="00000000" w:rsidRPr="00000000" w14:paraId="0000005A">
      <w:pPr>
        <w:shd w:fill="ffffff" w:val="clear"/>
        <w:spacing w:after="0" w:before="20" w:line="276" w:lineRule="auto"/>
        <w:ind w:left="600" w:right="60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1"/>
          <w:numId w:val="17"/>
        </w:numPr>
        <w:shd w:fill="ffffff" w:val="clear"/>
        <w:spacing w:after="0" w:afterAutospacing="0" w:before="20" w:lineRule="auto"/>
        <w:ind w:left="1440" w:right="600" w:hanging="360"/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tmmouoyg1uu3" w:id="11"/>
      <w:bookmarkEnd w:id="11"/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Modelos estructurales:</w:t>
        <w:tab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isp.asset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modelo base para todos los objetos ubicables en un mapa (localizaciones gps, direcciones, fechas, marca ).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fffff" w:val="clear"/>
        <w:spacing w:before="2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isp.netdev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dispositivo genérico (ip, port, username, password, type, marca, modelo, serial). Es la base para routers, OLT, radius.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isp.zone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área geográfica y lógica relacionada a un grupo de nodos con la misma salida a internet.</w:t>
      </w:r>
    </w:p>
    <w:p w:rsidR="00000000" w:rsidDel="00000000" w:rsidP="00000000" w:rsidRDefault="00000000" w:rsidRPr="00000000" w14:paraId="0000005F">
      <w:pPr>
        <w:shd w:fill="ffffff" w:val="clear"/>
        <w:spacing w:after="0" w:before="20" w:line="276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1"/>
          <w:numId w:val="17"/>
        </w:numPr>
        <w:shd w:fill="ffffff" w:val="clear"/>
        <w:spacing w:after="0" w:afterAutospacing="0" w:before="20" w:lineRule="auto"/>
        <w:ind w:left="1440" w:hanging="360"/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3125gsp5e1w" w:id="12"/>
      <w:bookmarkEnd w:id="12"/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Modelos geográficos: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hd w:fill="ffffff" w:val="clear"/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isp.node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Punto de presencia principal para un grupo de equipos.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hd w:fill="ffffff" w:val="clear"/>
        <w:spacing w:after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isp.post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Postes. Principalmente para planificación de instalaciones.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isp.box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Cajas Nap. Punto más cercano a la ONU.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hd w:fill="ffffff" w:val="clear"/>
        <w:spacing w:before="2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isp.splice_closure: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Mangas. Contenedores de splitters  y OLT.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isp.splitter: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Jerarquía de divisores de cables.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isp.cable: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Indicadores gráficos de troncales y fibras..</w:t>
      </w:r>
    </w:p>
    <w:p w:rsidR="00000000" w:rsidDel="00000000" w:rsidP="00000000" w:rsidRDefault="00000000" w:rsidRPr="00000000" w14:paraId="00000067">
      <w:pPr>
        <w:shd w:fill="ffffff" w:val="clear"/>
        <w:spacing w:after="0" w:before="20" w:line="276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1"/>
          <w:numId w:val="17"/>
        </w:numPr>
        <w:shd w:fill="ffffff" w:val="clear"/>
        <w:spacing w:after="0" w:before="20" w:line="276" w:lineRule="auto"/>
        <w:ind w:left="1440" w:hanging="360"/>
        <w:rPr>
          <w:rFonts w:ascii="Roboto" w:cs="Roboto" w:eastAsia="Roboto" w:hAnsi="Roboto"/>
          <w:b w:val="1"/>
          <w:color w:val="333333"/>
        </w:rPr>
      </w:pPr>
      <w:bookmarkStart w:colFirst="0" w:colLast="0" w:name="_konl2dg6qedh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32"/>
          <w:szCs w:val="32"/>
          <w:rtl w:val="0"/>
        </w:rPr>
        <w:t xml:space="preserve">Modelos de red activa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isp.olt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OLT con flags (is_pppoe/is_ipoe, secret, node_id, core_id).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isp.olt.card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isp.olt.card.port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tarjetas y puertos; estos últimos contienen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capacity_usage_port_pon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s_vlan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c_vlan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, campos de provisioning.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hd w:fill="ffffff" w:val="clear"/>
        <w:spacing w:after="0" w:before="20" w:line="276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isp.ap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punto de acceso inalámbrico y su relación con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isp.core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isp.node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hd w:fill="ffffff" w:val="clear"/>
        <w:spacing w:before="2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isp.core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Routers de acceso a internet.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hd w:fill="ffffff" w:val="clear"/>
        <w:spacing w:before="2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isp.radius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Manejo para NAS y desconexión (CoA). </w:t>
      </w:r>
    </w:p>
    <w:p w:rsidR="00000000" w:rsidDel="00000000" w:rsidP="00000000" w:rsidRDefault="00000000" w:rsidRPr="00000000" w14:paraId="0000006E">
      <w:pPr>
        <w:shd w:fill="ffffff" w:val="clear"/>
        <w:spacing w:before="20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numPr>
          <w:ilvl w:val="1"/>
          <w:numId w:val="17"/>
        </w:numPr>
        <w:pBdr>
          <w:bottom w:color="ecf0f1" w:space="7" w:sz="5" w:val="single"/>
        </w:pBdr>
        <w:shd w:fill="ffffff" w:val="clear"/>
        <w:spacing w:after="0" w:before="20" w:lineRule="auto"/>
        <w:ind w:left="1440" w:hanging="360"/>
        <w:rPr>
          <w:rFonts w:ascii="Courier New" w:cs="Courier New" w:eastAsia="Courier New" w:hAnsi="Courier New"/>
          <w:b w:val="1"/>
          <w:color w:val="2c3e50"/>
          <w:sz w:val="32"/>
          <w:szCs w:val="32"/>
        </w:rPr>
      </w:pPr>
      <w:bookmarkStart w:colFirst="0" w:colLast="0" w:name="_eboyhs3yg3xl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color w:val="2c3e50"/>
          <w:sz w:val="32"/>
          <w:szCs w:val="32"/>
          <w:rtl w:val="0"/>
        </w:rPr>
        <w:t xml:space="preserve">Diagrama de Componentes de Alto Nivel</w:t>
      </w:r>
    </w:p>
    <w:p w:rsidR="00000000" w:rsidDel="00000000" w:rsidP="00000000" w:rsidRDefault="00000000" w:rsidRPr="00000000" w14:paraId="00000070">
      <w:pPr>
        <w:shd w:fill="ffffff" w:val="clear"/>
        <w:spacing w:before="2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El sistema interactúa con varios componentes. El siguiente diagrama ilustra la arquitectura general:</w:t>
      </w:r>
    </w:p>
    <w:p w:rsidR="00000000" w:rsidDel="00000000" w:rsidP="00000000" w:rsidRDefault="00000000" w:rsidRPr="00000000" w14:paraId="00000071">
      <w:pPr>
        <w:shd w:fill="ffffff" w:val="clear"/>
        <w:spacing w:before="2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</w:rPr>
        <w:drawing>
          <wp:inline distB="114300" distT="114300" distL="114300" distR="114300">
            <wp:extent cx="5395913" cy="83627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836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before="2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numPr>
          <w:ilvl w:val="1"/>
          <w:numId w:val="17"/>
        </w:numPr>
        <w:pBdr>
          <w:bottom w:color="ecf0f1" w:space="7" w:sz="10" w:val="single"/>
        </w:pBdr>
        <w:shd w:fill="ffffff" w:val="clear"/>
        <w:spacing w:after="0" w:before="20" w:lineRule="auto"/>
        <w:ind w:left="1440" w:hanging="360"/>
        <w:rPr>
          <w:rFonts w:ascii="Courier New" w:cs="Courier New" w:eastAsia="Courier New" w:hAnsi="Courier New"/>
          <w:b w:val="1"/>
          <w:color w:val="2c3e50"/>
          <w:sz w:val="32"/>
          <w:szCs w:val="32"/>
        </w:rPr>
      </w:pPr>
      <w:bookmarkStart w:colFirst="0" w:colLast="0" w:name="_os4ohg75af2e" w:id="15"/>
      <w:bookmarkEnd w:id="15"/>
      <w:r w:rsidDel="00000000" w:rsidR="00000000" w:rsidRPr="00000000">
        <w:rPr>
          <w:rFonts w:ascii="Courier New" w:cs="Courier New" w:eastAsia="Courier New" w:hAnsi="Courier New"/>
          <w:b w:val="1"/>
          <w:color w:val="2c3e50"/>
          <w:sz w:val="32"/>
          <w:szCs w:val="32"/>
          <w:rtl w:val="0"/>
        </w:rPr>
        <w:t xml:space="preserve">Herencia de Clases y Modelos Base</w:t>
      </w:r>
    </w:p>
    <w:p w:rsidR="00000000" w:rsidDel="00000000" w:rsidP="00000000" w:rsidRDefault="00000000" w:rsidRPr="00000000" w14:paraId="00000074">
      <w:pPr>
        <w:shd w:fill="ffffff" w:val="clear"/>
        <w:spacing w:before="2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El módulo utiliza la herencia de Odoo para reutilizar lógica y campos, promoviendo un diseño DRY (Don't Repeat Yourself). Dos modelos base son fundamentales: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hd w:fill="ffffff" w:val="clear"/>
        <w:spacing w:before="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cf0f1" w:val="clear"/>
          <w:rtl w:val="0"/>
        </w:rPr>
        <w:t xml:space="preserve">isp.asset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Un modelo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abstracto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que proporciona campos y lógica para cualquier elemento considerado un "activo físico". Incluye campos para ubicación (dirección, coordenadas GPS), datos de instalación, marca y modelo. Cualquier modelo que represente un objeto físico hereda de él.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hd w:fill="ffffff" w:val="clear"/>
        <w:spacing w:before="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cf0f1" w:val="clear"/>
          <w:rtl w:val="0"/>
        </w:rPr>
        <w:t xml:space="preserve">isp.netdev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Un modelo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abstracto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para "dispositivos de red". Proporciona campos para la gestión de red, como dirección IP, puerto, credenciales de acceso, tipo de conexión (SSH, Telnet) y versión de software.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hd w:fill="ffffff" w:val="clear"/>
        <w:spacing w:before="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cf0f1" w:val="clear"/>
          <w:rtl w:val="0"/>
        </w:rPr>
        <w:t xml:space="preserve">mail.thread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ecf0f1" w:val="clear"/>
          <w:rtl w:val="0"/>
        </w:rPr>
        <w:t xml:space="preserve">mail.activity.mixin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: La mayoría de los modelos heredan de estos mixins de Odoo para obtener el chatter, la gestión de seguidores y la planificación de actividades, lo cual es crucial para la trazabilidad.</w:t>
      </w:r>
    </w:p>
    <w:p w:rsidR="00000000" w:rsidDel="00000000" w:rsidP="00000000" w:rsidRDefault="00000000" w:rsidRPr="00000000" w14:paraId="00000078">
      <w:pPr>
        <w:shd w:fill="ffffff" w:val="clear"/>
        <w:spacing w:before="2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La siguiente tabla muestra la estructura de herencia de los modelos más importantes: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2f2f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Modelo Hijo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2f2f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Hereda de...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2f2f2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rtl w:val="0"/>
              </w:rPr>
              <w:t xml:space="preserve">Propósito de la Herencia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isp.node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isp.post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isp.cable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isp.splice_closure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isp.asset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mail.thread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Son activos físicos con ubicación y trazabilidad.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isp.core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isp.olt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isp.asset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isp.netdev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mail.thread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Son activos físicos y a la vez dispositivos de red configurables.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isp.olt.card.port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isp.netdev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mail.thread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Es un componente lógico de un dispositivo de red, por lo que es configurable.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isp.radius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isp.netdev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ecf0f1" w:val="clear"/>
                <w:rtl w:val="0"/>
              </w:rPr>
              <w:t xml:space="preserve">mail.thread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Se trata como un dispositivo de red configurable (el servidor RADIUS).</w:t>
            </w:r>
          </w:p>
          <w:p w:rsidR="00000000" w:rsidDel="00000000" w:rsidP="00000000" w:rsidRDefault="00000000" w:rsidRPr="00000000" w14:paraId="00000088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before="20" w:lineRule="auto"/>
        <w:ind w:left="720" w:firstLine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2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2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numPr>
          <w:ilvl w:val="0"/>
          <w:numId w:val="17"/>
        </w:numPr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u w:val="none"/>
        </w:rPr>
      </w:pPr>
      <w:bookmarkStart w:colFirst="0" w:colLast="0" w:name="_l8r1mnqw488s" w:id="16"/>
      <w:bookmarkEnd w:id="16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Endpoints &amp; Wizards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Controller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/network/nodes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: devuelve la topología JSON (nodo→postes→cajas→splitters), útil para el mapa. Revisar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controllers/node_network.py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Wizards importantes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before="20" w:line="276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isp_netdev_radius_client_wizard.py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— agregar cliente RADIUS (gestiona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netdev_id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secret, servicios).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before="20" w:line="276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isp_radius_disconnect_wizard.py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— desconexión/CoA por usuario.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20" w:line="276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isp.radius.nas.wizard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isp.netdev.radius.client.wizard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(MikroTik focused).</w:t>
        <w:br w:type="textWrapping"/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numPr>
          <w:ilvl w:val="0"/>
          <w:numId w:val="17"/>
        </w:numPr>
        <w:pBdr>
          <w:bottom w:color="ecf0f1" w:space="7" w:sz="9" w:val="single"/>
        </w:pBdr>
        <w:spacing w:after="40" w:before="0" w:beforeAutospacing="0" w:lineRule="auto"/>
        <w:ind w:left="720" w:hanging="360"/>
        <w:rPr>
          <w:rFonts w:ascii="Courier New" w:cs="Courier New" w:eastAsia="Courier New" w:hAnsi="Courier New"/>
          <w:b w:val="1"/>
        </w:rPr>
      </w:pPr>
      <w:bookmarkStart w:colFirst="0" w:colLast="0" w:name="_rp95f5u2xgn4" w:id="17"/>
      <w:bookmarkEnd w:id="17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Diagrama Entidad-Relación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siguiente diagrama muestra las relaciones fundamentales entre las entidades principales del módulo.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663360</wp:posOffset>
            </wp:positionV>
            <wp:extent cx="4391529" cy="537686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529" cy="537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spacing w:before="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20" w:line="276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u w:val="none"/>
        </w:rPr>
      </w:pPr>
      <w:bookmarkStart w:colFirst="0" w:colLast="0" w:name="_mhnzbo218wif" w:id="18"/>
      <w:bookmarkEnd w:id="18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Flujos BPM críticos</w:t>
      </w:r>
    </w:p>
    <w:p w:rsidR="00000000" w:rsidDel="00000000" w:rsidP="00000000" w:rsidRDefault="00000000" w:rsidRPr="00000000" w14:paraId="000000AE">
      <w:pPr>
        <w:pStyle w:val="Heading3"/>
        <w:numPr>
          <w:ilvl w:val="1"/>
          <w:numId w:val="17"/>
        </w:numPr>
        <w:spacing w:before="0" w:beforeAutospacing="0" w:lineRule="auto"/>
        <w:ind w:left="1440" w:hanging="360"/>
        <w:rPr>
          <w:u w:val="none"/>
        </w:rPr>
      </w:pPr>
      <w:bookmarkStart w:colFirst="0" w:colLast="0" w:name="_mg1pnojzix52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Alta cliente/venta → Validación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2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Comprobar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isp.olt.card.port.capacity_usage_port_pon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isp.splitter.contracts_count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Si OK, reservar puerto (marcar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used_by_contract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y crear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isp.contract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→ crear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isp.radius.user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B0">
      <w:pPr>
        <w:spacing w:after="0" w:before="2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130845</wp:posOffset>
            </wp:positionV>
            <wp:extent cx="3086680" cy="8222428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680" cy="8222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spacing w:after="0" w:before="2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B2">
      <w:pPr>
        <w:pStyle w:val="Heading3"/>
        <w:numPr>
          <w:ilvl w:val="1"/>
          <w:numId w:val="17"/>
        </w:numPr>
        <w:spacing w:before="20" w:lineRule="auto"/>
        <w:ind w:left="1440" w:hanging="360"/>
        <w:rPr>
          <w:u w:val="none"/>
        </w:rPr>
      </w:pPr>
      <w:bookmarkStart w:colFirst="0" w:colLast="0" w:name="_l2mj9yfnrh6k" w:id="20"/>
      <w:bookmarkEnd w:id="20"/>
      <w:r w:rsidDel="00000000" w:rsidR="00000000" w:rsidRPr="00000000">
        <w:rPr>
          <w:b w:val="1"/>
          <w:rtl w:val="0"/>
        </w:rPr>
        <w:t xml:space="preserve">Instalación &amp; provisión</w:t>
        <w:br w:type="textWrapping"/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Este es el proceso más crítico que el módulo busca automatizar. El siguiente diagrama de secuencia ilustra los pasos desde la creación del contrato hasta la activación del servicio.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6129338" cy="32927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29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spacing w:before="20" w:lineRule="auto"/>
        <w:ind w:left="144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Incidencia</w:t>
      </w:r>
    </w:p>
    <w:p w:rsidR="00000000" w:rsidDel="00000000" w:rsidP="00000000" w:rsidRDefault="00000000" w:rsidRPr="00000000" w14:paraId="000000B7">
      <w:pPr>
        <w:spacing w:before="2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Mensaje entrante crea/actualiza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helpdesk.ticket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(integración externa). Ticket con categoría técnica genera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NetOps que ejecuta playbook/diagnóstico y actualiza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isp.olt.card.port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isp.cpe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según resultado.</w:t>
      </w:r>
    </w:p>
    <w:p w:rsidR="00000000" w:rsidDel="00000000" w:rsidP="00000000" w:rsidRDefault="00000000" w:rsidRPr="00000000" w14:paraId="000000B8">
      <w:pPr>
        <w:spacing w:after="0" w:before="20" w:line="276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212601</wp:posOffset>
            </wp:positionV>
            <wp:extent cx="4430109" cy="51292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109" cy="512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spacing w:after="0" w:before="20" w:line="276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2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spacing w:after="0" w:before="20" w:line="276" w:lineRule="auto"/>
        <w:ind w:left="144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Suspensión por morosidad</w:t>
        <w:br w:type="textWrapping"/>
      </w:r>
    </w:p>
    <w:p w:rsidR="00000000" w:rsidDel="00000000" w:rsidP="00000000" w:rsidRDefault="00000000" w:rsidRPr="00000000" w14:paraId="000000BC">
      <w:pPr>
        <w:spacing w:after="0" w:before="2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Factura vencida → proceso de cobranza dispara wizard/worker que ejecuta CoA/disconnect 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isp.radius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 marca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is_cutoff_port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Registrar auditoría.</w:t>
        <w:br w:type="textWrapping"/>
        <w:br w:type="textWrapping"/>
        <w:br w:type="textWrapping"/>
      </w:r>
    </w:p>
    <w:p w:rsidR="00000000" w:rsidDel="00000000" w:rsidP="00000000" w:rsidRDefault="00000000" w:rsidRPr="00000000" w14:paraId="000000BD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288131</wp:posOffset>
            </wp:positionV>
            <wp:extent cx="4429125" cy="5238434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38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numPr>
          <w:ilvl w:val="0"/>
          <w:numId w:val="17"/>
        </w:numPr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u w:val="none"/>
        </w:rPr>
      </w:pPr>
      <w:bookmarkStart w:colFirst="0" w:colLast="0" w:name="_wt1l7oghi3bd" w:id="21"/>
      <w:bookmarkEnd w:id="21"/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Integraciones externas</w:t>
      </w: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RADIUS (AAA)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pyrad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es la librería sugerida en los archivos; los modelos y wizards facilitan la gestión de NAS y CoA. Se debe asegurar: conexión segura, reintentos, idempotencia en CoA (no crear cuentas duplicadas), y audit logging.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Equipos de red (SSH/API)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isp.netdev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almacena credenciales y campos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api_port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Recomendación: mover credenciales a Vault y usar playbooks (Ansible) o workers en colas.</w:t>
        <w:br w:type="textWrapping"/>
        <w:t xml:space="preserve"> db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Visualización/Mapa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endpoint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/network/nodes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alimenta frontend (web_map). Ver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web_map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dependency en el manifest.</w:t>
        <w:br w:type="textWrapping"/>
        <w:t xml:space="preserve"> silverisp</w:t>
        <w:br w:type="textWrapping"/>
      </w:r>
    </w:p>
    <w:p w:rsidR="00000000" w:rsidDel="00000000" w:rsidP="00000000" w:rsidRDefault="00000000" w:rsidRPr="00000000" w14:paraId="000000E8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numPr>
          <w:ilvl w:val="0"/>
          <w:numId w:val="17"/>
        </w:numPr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u w:val="none"/>
        </w:rPr>
      </w:pPr>
      <w:bookmarkStart w:colFirst="0" w:colLast="0" w:name="_8e9430qkse6z" w:id="22"/>
      <w:bookmarkEnd w:id="22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Calidad, pruebas y deuda técnica</w:t>
      </w:r>
    </w:p>
    <w:p w:rsidR="00000000" w:rsidDel="00000000" w:rsidP="00000000" w:rsidRDefault="00000000" w:rsidRPr="00000000" w14:paraId="000000EA">
      <w:pPr>
        <w:spacing w:after="0" w:before="2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after="0" w:before="20" w:line="276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zc02hrsw66bc" w:id="23"/>
      <w:bookmarkEnd w:id="2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Recomendaciones de pruebas (priorizadas)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Unitarias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validaciones de modelos (e.g., unicidad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serial_number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isp.cpe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constraints 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isp.olt_card_port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Integración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tests contra RADIUS (mock/pyrad), y simulaciones de comandos OLT (mocks SSH/API).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E2E/UAT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: escenario completo: venta → reserva puerto → asignación CPE → provisión RADIUS → primer login.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Migración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validar contajes, sumas, y reconciliaciones (scripts ETL).</w:t>
        <w:br w:type="textWrapping"/>
        <w:t xml:space="preserve"> silverisp</w:t>
        <w:br w:type="textWrapping"/>
      </w:r>
    </w:p>
    <w:p w:rsidR="00000000" w:rsidDel="00000000" w:rsidP="00000000" w:rsidRDefault="00000000" w:rsidRPr="00000000" w14:paraId="000000F0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0"/>
          <w:numId w:val="17"/>
        </w:numPr>
        <w:ind w:left="720" w:hanging="360"/>
        <w:rPr>
          <w:b w:val="1"/>
        </w:rPr>
      </w:pPr>
      <w:bookmarkStart w:colFirst="0" w:colLast="0" w:name="_ooz44917hcjw" w:id="24"/>
      <w:bookmarkEnd w:id="24"/>
      <w:r w:rsidDel="00000000" w:rsidR="00000000" w:rsidRPr="00000000">
        <w:rPr>
          <w:b w:val="1"/>
          <w:rtl w:val="0"/>
        </w:rPr>
        <w:t xml:space="preserve">Migración de datos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Tablas críticas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para migrar: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isp.asset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isp.zone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isp.node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isp.post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isp.box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isp.splitter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isp.olt.card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isp.olt.card.port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isp.contract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isp.radius.user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isp.onu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/CPEs.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Reglas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preservar ids externos cuando sea necesario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external_id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 reconciliar conteos de contratos por splitter/port, verificar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capacity_usage_*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contra asignaciones reales.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Dress rehearsal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hacer un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parallel run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 doble registro (ver tu política de cutover).</w:t>
        <w:br w:type="textWrapping"/>
      </w:r>
    </w:p>
    <w:p w:rsidR="00000000" w:rsidDel="00000000" w:rsidP="00000000" w:rsidRDefault="00000000" w:rsidRPr="00000000" w14:paraId="000000F6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numPr>
          <w:ilvl w:val="0"/>
          <w:numId w:val="17"/>
        </w:numPr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u w:val="none"/>
        </w:rPr>
      </w:pPr>
      <w:bookmarkStart w:colFirst="0" w:colLast="0" w:name="_khb478910ya8" w:id="25"/>
      <w:bookmarkEnd w:id="25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Seguridad y cumplimiento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Secrets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mover todos los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nas_secret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fuera del código a un vault.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isp.netdev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hoy guarda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(no es aceptable en prod).</w:t>
        <w:br w:type="textWrapping"/>
        <w:t xml:space="preserve"> db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RBAC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validar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security/ir.model.access.csv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— roles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Usuario ISP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Manager ISP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ya detectados (ajustar granularidad si se necesita).</w:t>
        <w:br w:type="textWrapping"/>
        <w:t xml:space="preserve"> silverisp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Auditoría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activar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mail.thread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mail.activity.mixin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(ya usado), pero añadir logs escritos en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exec_log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registros de CoA/desconexión.</w:t>
        <w:br w:type="textWrapping"/>
      </w:r>
    </w:p>
    <w:p w:rsidR="00000000" w:rsidDel="00000000" w:rsidP="00000000" w:rsidRDefault="00000000" w:rsidRPr="00000000" w14:paraId="000000FC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numPr>
          <w:ilvl w:val="0"/>
          <w:numId w:val="17"/>
        </w:numPr>
        <w:spacing w:after="0" w:before="20" w:line="276" w:lineRule="auto"/>
        <w:ind w:left="720" w:hanging="360"/>
        <w:rPr>
          <w:rFonts w:ascii="Courier New" w:cs="Courier New" w:eastAsia="Courier New" w:hAnsi="Courier New"/>
          <w:b w:val="1"/>
          <w:sz w:val="34"/>
          <w:szCs w:val="34"/>
          <w:u w:val="none"/>
        </w:rPr>
      </w:pPr>
      <w:bookmarkStart w:colFirst="0" w:colLast="0" w:name="_5wv2mz3bayp" w:id="26"/>
      <w:bookmarkEnd w:id="26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Operaciones y despliegue 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Provisionamiento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worker/cola para tareas NetOps; retries exponenciales; dead-letter queue para fallos manuales.</w:t>
        <w:br w:type="textWrapping"/>
        <w:t xml:space="preserve"> silverisp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Backup/DR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snapshots diarios; pruebas trimestrales de restore.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0" w:before="20" w:line="27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Despliegue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Docker + docker-compose/ansible;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ssync.sh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existe pero recomiendo Ansible para robustez.</w:t>
        <w:br w:type="textWrapping"/>
        <w:t xml:space="preserve"> silverisp</w:t>
        <w:br w:type="textWrapping"/>
      </w:r>
    </w:p>
    <w:p w:rsidR="00000000" w:rsidDel="00000000" w:rsidP="00000000" w:rsidRDefault="00000000" w:rsidRPr="00000000" w14:paraId="00000101">
      <w:pPr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