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left"/>
      </w:pPr>
      <w:r>
        <w:rPr>
          <w:rFonts w:ascii="Calibri" w:hAnsi="Calibri"/>
          <w:b/>
          <w:color w:val="1F4E79"/>
          <w:sz w:val="44"/>
        </w:rPr>
        <w:t>Variational Quantum Eigensolver Benchmark on Hexagonal Boron Nitride (B8N8H10) Quantum Dot</w:t>
      </w:r>
    </w:p>
    <w:p>
      <w:pPr>
        <w:spacing w:before="0" w:after="280"/>
        <w:jc w:val="left"/>
      </w:pPr>
      <w:r>
        <w:rPr>
          <w:rFonts w:ascii="Calibri" w:hAnsi="Calibri"/>
          <w:i/>
          <w:color w:val="595959"/>
          <w:sz w:val="26"/>
        </w:rPr>
        <w:t>An End-to-End Investigation of Active-Space Reduction, Circuit Architectures, Finite-Difference Gradient Dynamics, and Heron QPU Execution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8" w:space="0" w:color="1F4E79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7"/>
              </w:rPr>
              <w:t>Author / Maintainer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7"/>
              </w:rPr>
              <w:t>Aarush Mishra (Quantum Chemistry &amp; Information Processing Lab)</w:t>
            </w:r>
          </w:p>
        </w:tc>
      </w:tr>
      <w:tr>
        <w:tc>
          <w:tcPr>
            <w:tcW w:type="dxa" w:w="4680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7"/>
              </w:rPr>
              <w:t>Target Submission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7"/>
              </w:rPr>
              <w:t>Qiskit Fall Fest Technical Report &amp; IBM Quantum Advocate Portfolio</w:t>
            </w:r>
          </w:p>
        </w:tc>
      </w:tr>
      <w:tr>
        <w:tc>
          <w:tcPr>
            <w:tcW w:type="dxa" w:w="4680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7"/>
              </w:rPr>
              <w:t>Software Stack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7"/>
              </w:rPr>
              <w:t>Qiskit 2.3.1, Qiskit Nature 0.8.0, Qiskit IBM Runtime 0.45.1, Qiskit Aer 0.17.2, PySCF 2.7.0</w:t>
            </w:r>
          </w:p>
        </w:tc>
      </w:tr>
      <w:tr>
        <w:tc>
          <w:tcPr>
            <w:tcW w:type="dxa" w:w="4680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7"/>
              </w:rPr>
              <w:t>Hardware Platforms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7"/>
              </w:rPr>
              <w:t>IBM Quantum Heron (ibm_fez, 156 Qubits) &amp; Statevector Simulator</w:t>
            </w:r>
          </w:p>
        </w:tc>
      </w:tr>
      <w:tr>
        <w:tc>
          <w:tcPr>
            <w:tcW w:type="dxa" w:w="4680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7"/>
              </w:rPr>
              <w:t>Repository Artifacts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7"/>
              </w:rPr>
              <w:t>results.xlsx (10 Sheets with Native Charts), data/ (Full Caches &amp; Telemetry)</w:t>
            </w:r>
          </w:p>
        </w:tc>
      </w:tr>
    </w:tbl>
    <w:p>
      <w:pPr>
        <w:spacing w:before="160" w:after="160"/>
      </w:pPr>
    </w:p>
    <w:p>
      <w:pPr>
        <w:pStyle w:val="Heading2"/>
        <w:spacing w:before="240" w:after="80"/>
      </w:pPr>
      <w:r>
        <w:rPr>
          <w:color w:val="1F4E79"/>
        </w:rPr>
        <w:t>Executive Summary &amp; Abstract</w:t>
      </w:r>
    </w:p>
    <w:p>
      <w:r>
        <w:t>Quantum simulation of correlated 2D nanostructures represents a primary benchmark for Near-Term Intermediate-Scale Quantum (NISQ) algorithms. This work presents a comprehensive, publication-grade investigation of the Variational Quantum Eigensolver (VQE) applied to a 26-atom hexagonal boron-nitride (BN) quantum dot (B8N8H10). We explore the entire theoretical and computational workflow: classical Restricted Hartree-Fock (RHF) and frozen-core pre-computation, Jordan-Wigner fermion-to-qubit transformation, ansatz structural design, exact batched central finite-difference gradient optimization, active-space scaling across 4, 8, and 12 qubits, and physical cross-checks on a 156-qubit IBM Quantum Heron processor (ibm_fez).</w:t>
        <w:br/>
        <w:br/>
        <w:t>A full 4 x 4 x 4 = 64 configuration benchmark matrix—spanning four ansätze (DexcG, PCU2, UCCSD, k-UpCCGSD), four initializations (zero, half, one, random), and four optimizers (GD, ADAM, SPSA, QNSPSA)—was evaluated under strict numerical reproducibility. On the production (2e, 2o) active space (4 qubits), 84.4% of configurations achieved chemical accuracy (|E - E_CASCI| &lt; 1.6 mHa), with UCCSD under exact Gradient Descent converging to an asymptotic error of 1.14e-10 mHa (100% correlation energy recovered). On physical hardware (ibm_fez), the PCU2 ansatz evaluated via EstimatorV2 across a 5-point parameterized landscape yielded an experimental minimum with 27.82 mHa error, successfully preserving the theoretical curvature of the potential energy surface and achieving a ~4.3x error reduction over doubles-only UCC.</w:t>
      </w:r>
    </w:p>
    <w:p>
      <w:pPr>
        <w:pStyle w:val="Heading1"/>
        <w:spacing w:before="320"/>
      </w:pPr>
      <w:r>
        <w:rPr>
          <w:color w:val="1F4E79"/>
        </w:rPr>
        <w:t>1. Chemical System Definition &amp; Basis Set Complexity</w:t>
      </w:r>
    </w:p>
    <w:p>
      <w:pPr>
        <w:pStyle w:val="Heading2"/>
      </w:pPr>
      <w:r>
        <w:t>1.1 Molecular Architecture of the B8N8H10 Quantum Dot</w:t>
      </w:r>
    </w:p>
    <w:p>
      <w:r>
        <w:t>Hexagonal boron nitride (h-BN) quantum dots possess wide optical bandgaps, strong exciton binding energies, and robust chemical stability, making them premier candidates for quantum dot light-emitting diodes (QD-LEDs), single-photon emitters, and quantum sensor nodes. The model system chosen for this benchmark is the passivated neutral singlet quantum dot B8N8H10 (26 atoms total: 8 Boron, 8 Nitrogen, 10 Hydrogen) with closed-shell spin singlet multiplicity (S = 0, 2S+1 = 1) and neutral charge (Q = 0).</w:t>
        <w:br/>
        <w:br/>
        <w:t>The molecular geometry forms a planar core consisting of fused alternating boron and nitrogen hexagonal rings terminated with peripheral hydrogen atoms to eliminate dangling sigma-bonds and prevent edge-reconstruction states:</w:t>
        <w:br/>
        <w:t>• Total Electron Count: N_e = 8(5) + 8(7) + 10(1) = 40 + 56 + 10 = 106 electrons.</w:t>
        <w:br/>
        <w:t>• Nuclear Repulsion Energy: V_NN = 944.07578906 Ha.</w:t>
        <w:br/>
        <w:t>• Characteristic Bond Distances: d(B-N) ≈ 1.440 Å, d(B-H) ≈ 1.190 Å, d(N-H) ≈ 1.010 Å.</w:t>
      </w:r>
    </w:p>
    <w:p>
      <w:pPr>
        <w:pStyle w:val="Heading2"/>
      </w:pPr>
      <w:r>
        <w:t>1.2 Basis Set Selection &amp; The Full-Configuration Interaction Bottleneck</w:t>
      </w:r>
    </w:p>
    <w:p>
      <w:r>
        <w:t>Electronic structure simulations depend fundamentally on the choice of atom-centered Gaussian basis functions:</w:t>
        <w:br/>
        <w:br/>
        <w:t>1. Minimal Basis (STO-3G): Each Boron and Nitrogen contributes 5 basis functions (1s, 2s, 2px, 2py, 2pz), and Hydrogen contributes 1 function (1s). Total spatial atomic orbitals: N_AO = 8(5) + 8(5) + 10(1) = 90 orbitals (180 qubits under Jordan-Wigner).</w:t>
        <w:br/>
        <w:t>2. Polarized Split-Valence Basis (6-31G(d,p)): Boron and Nitrogen feature split valence shells plus six d-polarization functions (15 functions/atom); Hydrogen features split valence plus three p-polarization functions (5 functions/atom). This generates 290 Cartesian Gaussian functions, contracting to 274 pure spherical atomic orbitals in PySCF.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8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Spatial Orbitals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Spin-Orbitals (Qubits)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FCI Hilbert Space Dimension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Feasibility Status</w:t>
            </w:r>
          </w:p>
        </w:tc>
      </w:tr>
      <w:tr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 Molecule (STO-3G)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90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180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(180 choose 106) ≈ 1.3 × 10^51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Impossible (Classical &amp; NISQ)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 Molecule (6-31G(d,p))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274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548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(548 choose 106) ≈ 4.3 × 10^115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Impossible (Exceeds Universe Atoms)</w:t>
            </w:r>
          </w:p>
        </w:tc>
      </w:tr>
      <w:tr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Active Space (2e, 2o)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(4 choose 2) = 6 determinants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Fully Executable (Production)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Active Space (4e, 4o)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(8 choose 4) = 70 determinants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Fully Executable (Scaling)</w:t>
            </w:r>
          </w:p>
        </w:tc>
      </w:tr>
      <w:tr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Active Space (6e, 6o)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(12 choose 6) = 924 determinants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Fully Executable (Stochastic SPSA)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 xml:space="preserve">[THE DIMENSIONAL COMPLEXITY BOTTLENECK] </w:t>
            </w:r>
            <w:r>
              <w:rPr>
                <w:rFonts w:ascii="Calibri" w:hAnsi="Calibri"/>
                <w:i/>
                <w:color w:val="323232"/>
                <w:sz w:val="19"/>
              </w:rPr>
              <w:t>Simulating the full 6-31G(d,p) B8N8H10 system requires 548 qubits and a Hilbert space of 4.3e115 Slater determinants. Storing a single statevector would require ~1e103 exabytes of memory. Full-molecule simulation is mathematically impossible without active-space truncation.</w:t>
            </w:r>
          </w:p>
        </w:tc>
      </w:tr>
    </w:tbl>
    <w:p>
      <w:pPr>
        <w:spacing w:after="80" w:before="0"/>
      </w:pPr>
    </w:p>
    <w:p>
      <w:pPr>
        <w:pStyle w:val="Heading1"/>
        <w:spacing w:before="320"/>
      </w:pPr>
      <w:r>
        <w:rPr>
          <w:color w:val="1F4E79"/>
        </w:rPr>
        <w:t>2. Theoretical Methodology &amp; Hamiltonian Mapping</w:t>
      </w:r>
    </w:p>
    <w:p>
      <w:pPr>
        <w:pStyle w:val="Heading2"/>
      </w:pPr>
      <w:r>
        <w:t>2.1 Restricted Hartree-Fock Pre-Computation &amp; Core Freezing</w:t>
      </w:r>
    </w:p>
    <w:p>
      <w:r>
        <w:t>To resolve this dimensional bottleneck, we apply the Complete Active Space (CAS) methodology:</w:t>
        <w:br/>
        <w:t>1. Mean-Field RHF Calculation: The ground-state electronic structure is initially solved in the full basis using Restricted Hartree-Fock (RHF) equations. Canonical molecular orbitals (MOs) are sorted by energy eigenvalues.</w:t>
        <w:br/>
        <w:t>2. Core Freezing: Electrons in deeply bound core MOs (1s of B and N, plus unreactive sigma-bonding orbitals) remain doubly occupied. Their Coulomb and exchange potentials are contracted into an inactive core energy E_core and effective 1-body integrals.</w:t>
      </w:r>
    </w:p>
    <w:p>
      <w:pPr>
        <w:pStyle w:val="Heading2"/>
      </w:pPr>
      <w:r>
        <w:t>2.2 Active-Space Hierarchy across (2e, 2o), (4e, 4o), and (6e, 6o)</w:t>
      </w:r>
    </w:p>
    <w:p>
      <w:r>
        <w:t>We systematically examine three nested active spaces centered symmetrically around the Fermi level (HOMO = -0.2745 Ha, LUMO = +0.0152 Ha):</w:t>
        <w:br/>
        <w:t>• (2e, 2o) Active Space (4 Qubits): HOMO (orbital 52) and LUMO (orbital 53). E_core = -638.74689305 Ha. Yields 27 Pauli terms. Correlation energy: E_corr = 0.04093 mHa.</w:t>
        <w:br/>
        <w:t>• (4e, 4o) Active Space (8 Qubits): HOMO-1 through LUMO+1. E_core = -637.06241785 Ha. Yields 361 Pauli terms. Correlation energy: E_corr = 0.29375 mHa.</w:t>
        <w:br/>
        <w:t>• (6e, 6o) Active Space (12 Qubits): HOMO-2 through LUMO+2. E_core = -634.50502581 Ha. Yields 1,819 Pauli terms. Correlation energy: E_corr = 1.38368 mHa.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67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_space_sca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7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1: Multi-panel scaling analysis across active spaces: (a) Mapped qubits and Hamiltonian Pauli terms, (b) Recoverable correlation energy relative to 1.6 mHa chemical accuracy, and (c) Variational parameter explosion highlighting the 855-parameter bottleneck in k-UpCCGSD.</w:t>
      </w:r>
    </w:p>
    <w:p>
      <w:pPr>
        <w:pStyle w:val="Heading2"/>
      </w:pPr>
      <w:r>
        <w:t>2.3 Jordan-Wigner Transformation &amp; Reference Determinant Baseline</w:t>
      </w:r>
    </w:p>
    <w:p>
      <w:r>
        <w:t>Under the Jordan-Wigner mapping, fermionic creation and annihilation operators are mapped to Pauli spin operators with non-local parity strings. In CAS-VQE benchmarks, computing the percentage of correlation energy recovered requires strict adherence to the reference determinant energy:</w:t>
        <w:br/>
        <w:br/>
        <w:t xml:space="preserve">    % Correlation Recovered = ((E_ref - E_VQE) / (E_ref - E_CASCI)) * 100%</w:t>
        <w:br/>
        <w:br/>
        <w:t>where E_ref is the energy of the single dominant Hartree-Fock determinant evaluated within the active Hamiltonian. Using total RHF energy E_HF_total as a baseline would create unphysical baseline shifts, causing artificial correlation recovery figures exceeding 100% or dipping negative. Measuring relative to E_ref guarantees that theta = 0 corresponds strictly to 0.00% recovery and exact CASCI corresponds to 100.00%.</w:t>
      </w:r>
    </w:p>
    <w:p>
      <w:pPr>
        <w:pStyle w:val="Heading1"/>
        <w:spacing w:before="320"/>
      </w:pPr>
      <w:r>
        <w:rPr>
          <w:color w:val="1F4E79"/>
        </w:rPr>
        <w:t>3. Ansatz Architecture &amp; Circuit Implementations</w:t>
      </w:r>
    </w:p>
    <w:p>
      <w:r>
        <w:t>Four structurally distinct variational circuits were implemented, decomposed to native basis gates, and analyzed: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37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Dexc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3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2: Decomposed quantum circuit for DexcG (Doubles-Only UCC, 1 parameter, 42 2Q gates, depth 144).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79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PCU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3: Decomposed quantum circuit for PCU2 (Particle-Conserving U2, 14 parameters, 18 2Q gates, depth 56).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441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UCC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4: Decomposed quantum circuit for UCCSD (Singles &amp; Doubles UCC, 3 parameters, 42 2Q gates, depth 144).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870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k-UpCCGS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5: Decomposed quantum circuit for k-UpCCGSD (Generalized UCC, k=3, 9 parameters, 252 2Q gates, depth 852).</w:t>
      </w:r>
    </w:p>
    <w:p>
      <w:pPr>
        <w:pStyle w:val="Heading2"/>
      </w:pPr>
      <w:r>
        <w:t>3.1 Deep Dive: UCCSD Parameter Scaling &amp; Brillouin's Theorem</w:t>
      </w:r>
    </w:p>
    <w:p>
      <w:r>
        <w:t>The analytical scaling of Jordan-Wigner qubits, singles, and doubles cluster amplitudes for closed-shell systems is given by:</w:t>
        <w:br/>
        <w:t>• Qubits = 2 * N_spatial_orbitals</w:t>
        <w:br/>
        <w:t>• Singles Amplitudes = 2 * o * v</w:t>
        <w:br/>
        <w:t>• Doubles Amplitudes = 2 * C(o, 2) * C(v, 2) + (o * v)^2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8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Electrons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Spatial AOs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JW Qubits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Singles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Doubles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UCCSD Params</w:t>
            </w:r>
          </w:p>
        </w:tc>
      </w:tr>
      <w:tr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 Molecule (STO-3G)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106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90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180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3,922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5,681,017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5,684,939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 Molecule (6-31G(d,p))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106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274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548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23,426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204,192,729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204,216,155</w:t>
            </w:r>
          </w:p>
        </w:tc>
      </w:tr>
      <w:tr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Active Space (2e, 2o)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Active Space (4e, 4o)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</w:tr>
      <w:tr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Active Space (6e, 6o)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type="dxa" w:w="1337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117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 xml:space="preserve">[BRILLOUIN'S THEOREM AND VANISHING SINGLE GRADIENTS] </w:t>
            </w:r>
            <w:r>
              <w:rPr>
                <w:rFonts w:ascii="Calibri" w:hAnsi="Calibri"/>
                <w:i/>
                <w:color w:val="323232"/>
                <w:sz w:val="19"/>
              </w:rPr>
              <w:t>Brillouin's Theorem dictates that for canonical Hartree-Fock orbitals, the Hamiltonian matrix elements between the HF ground state and singly excited determinants vanish: &lt;Phi_i^a | H | Phi_HF&gt; = 0. Consequently, the partial derivative of UCCSD with respect to single excitation amplitudes evaluated at theta = 0 is identically zero: dE/d(theta_single) = 2 Re &lt;Phi_i^a | H | Phi_HF&gt; = 0. Our empirical finite-difference evaluations confirmed this to machine precision: STO-3G single gradients were -4.55e-7 Ha/rad and 6-31G(d,p) were -1.82e-7 Ha/rad, whereas double excitation gradients were dominant (~1e-2 Ha/rad).</w:t>
            </w:r>
          </w:p>
        </w:tc>
      </w:tr>
    </w:tbl>
    <w:p>
      <w:pPr>
        <w:spacing w:after="80" w:before="0"/>
      </w:pPr>
    </w:p>
    <w:p>
      <w:pPr>
        <w:pStyle w:val="Heading1"/>
        <w:spacing w:before="320"/>
      </w:pPr>
      <w:r>
        <w:rPr>
          <w:color w:val="1F4E79"/>
        </w:rPr>
        <w:t>4. Computational Benchmarking (The 64-Run Grid)</w:t>
      </w:r>
    </w:p>
    <w:p>
      <w:pPr>
        <w:pStyle w:val="Heading2"/>
      </w:pPr>
      <w:r>
        <w:t>4.1 Exact Finite Differences vs. The 855-Parameter 12Q Bottleneck</w:t>
      </w:r>
    </w:p>
    <w:p>
      <w:r>
        <w:t>Standard parameter-shift rules fail for unitary coupled cluster circuits because multi-qubit Pauli evolution generators exhibit pi-periodic multi-frequency energy surfaces. To ensure mathematical exactness, we deployed exact central finite differences (eps = 1e-5), evaluating all 2d perturbed circuits in a single batched primitive call.</w:t>
        <w:br/>
        <w:br/>
        <w:t>At the 12-qubit (6e, 6o) level, k-UpCCGSD possesses 855 parameters. A single gradient step requires 2 x 855 = 1,710 circuit evaluations, and binding 855 parameters repeatedly inside Qiskit creates severe CPU binding overhead and memory collisions. Consequently, k-UpCCGSD was hard-skipped for 12 qubits, and 12-qubit runs were restricted to SPSA (which requires strictly 2 evaluations per iteration regardless of d).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top_confi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6: Energy error convergence vs iteration: (a) Exact Gradient Descent and ADAM showing monotonic descent below chemical accuracy, and (b) Stochastic SPSA and Quantum Natural SPSA optimizers.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310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7: 4-panel overview chart comparing minimum error by ansatz, optimizer, initialization, and 5-seed random initialization robustness error bars.</w:t>
      </w:r>
    </w:p>
    <w:p>
      <w:pPr>
        <w:pStyle w:val="Heading2"/>
      </w:pPr>
      <w:r>
        <w:t>4.2 Top 10 Configurations Leaderboard (4 Qubits)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8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</w:trPr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Ansatz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Init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Opt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Params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Final Energy (Ha)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Error (mHa)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Corr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Evals</w:t>
            </w:r>
          </w:p>
        </w:tc>
        <w:tc>
          <w:tcPr>
            <w:tcW w:type="dxa" w:w="851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UCCSD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random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-639.72428323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1.1369 × 10^-10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100.00%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351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6.10 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UCCSD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zero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-639.72428323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1.1369 × 10^-10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100.00%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351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6.65 s</w:t>
            </w:r>
          </w:p>
        </w:tc>
      </w:tr>
      <w:tr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UCCSD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one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-639.72428323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2.2737 × 10^-10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100.00%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351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6.96 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UCCSD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half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-639.72428323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3.4106 × 10^-10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100.00%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351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6.33 s</w:t>
            </w:r>
          </w:p>
        </w:tc>
      </w:tr>
      <w:tr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49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k-UpCCGSD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zero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-639.72428321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2.0406 × 10^-05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99.95%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951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38.08 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DexcG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zero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QNSPSA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-639.72428301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2.1333 × 10^-04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99.48%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179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4.97 s</w:t>
            </w:r>
          </w:p>
        </w:tc>
      </w:tr>
      <w:tr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DexcG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half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-639.72428301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2.1333 × 10^-04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99.48%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151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1.34 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DexcG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zero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-639.72428301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2.1333 × 10^-04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99.48%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151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1.27 s</w:t>
            </w:r>
          </w:p>
        </w:tc>
      </w:tr>
      <w:tr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DexcG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zero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SPSA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-639.72428301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2.1333 × 10^-04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99.48%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153</w:t>
            </w:r>
          </w:p>
        </w:tc>
        <w:tc>
          <w:tcPr>
            <w:tcW w:type="dxa" w:w="851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1.26 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DexcG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random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-639.72428301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2.1333 × 10^-04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99.48%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151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1.32 s</w:t>
            </w:r>
          </w:p>
        </w:tc>
      </w:tr>
    </w:tbl>
    <w:p>
      <w:pPr>
        <w:pStyle w:val="Heading1"/>
        <w:spacing w:before="320"/>
      </w:pPr>
      <w:r>
        <w:rPr>
          <w:color w:val="1F4E79"/>
        </w:rPr>
        <w:t>5. IBM Quantum Hardware Execution</w:t>
      </w:r>
    </w:p>
    <w:p>
      <w:pPr>
        <w:pStyle w:val="Heading2"/>
      </w:pPr>
      <w:r>
        <w:t>5.1 Architecture of the Physical Hardware Cross-Check</w:t>
      </w:r>
    </w:p>
    <w:p>
      <w:r>
        <w:t>To cross-check theoretical predictions against physical superconducting quantum noise, we executed multiple jobs on the 156-qubit IBM Quantum Heron processor ibm_fez. Defensive execution guardrails were enforced:</w:t>
        <w:br/>
        <w:t>1. Strict 2-Qubit Gate Safety Cap: Candidate ansätze (PCU2 vs DexcG) were transpiled at optimization level 3 to the Heron heavy-hex coupling map. PCU2 transpiled to 18 two-qubit gates (depth 56), while DexcG required 42 two-qubit gates (depth 144). PCU2 was automatically selected, comfortably below our strict 60-gate threshold.</w:t>
        <w:br/>
        <w:t>2. EstimatorV2 Job Mode: Executed in non-session Job Mode with resilience_level = 0 and 4,096 shots per point (20,480 total shots across 5 points).</w:t>
        <w:br/>
        <w:t>3. Non-Blocking Confirmation: Terminal prompt input() was replaced by --yes / -y to eliminate headless subshell deadlocks.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8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Job ID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Backend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Ansatz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Depth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2Q Gates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QPU Time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Exact CASCI (Ha)</w:t>
            </w:r>
          </w:p>
        </w:tc>
        <w:tc>
          <w:tcPr>
            <w:tcW w:type="dxa" w:w="117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(Ha)</w:t>
            </w:r>
          </w:p>
        </w:tc>
      </w:tr>
      <w:tr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daor3p5r85ps73ffmvn0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ibm_fez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UCCSD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 (HF Ref)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30.35 s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-639.72364609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daqkle3t55cs738rsfrg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ibm_fez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DexcG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144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20.00 s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-639.59691169</w:t>
            </w:r>
          </w:p>
        </w:tc>
      </w:tr>
      <w:tr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daqph1uekp0c73ar40l0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ibm_fez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PCU2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56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50.00 s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-639.72428</w:t>
            </w:r>
          </w:p>
        </w:tc>
        <w:tc>
          <w:tcPr>
            <w:tcW w:type="dxa" w:w="117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-639.69642295</w:t>
            </w:r>
          </w:p>
        </w:tc>
      </w:tr>
    </w:tbl>
    <w:p>
      <w:pPr>
        <w:pStyle w:val="Heading2"/>
      </w:pPr>
      <w:r>
        <w:t>5.2 Hardware Landscape Analysis: Curvature Preservation vs. Device Noise</w:t>
      </w:r>
    </w:p>
    <w:p>
      <w:r>
        <w:t>A 5-point parameter sweep (theta in [-0.10, -0.05, 0.00, +0.05, +0.10] rad) was evaluated on ibm_fez (Job ID: daqph1uekp0c73ar40l0):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8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Point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Configuration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Ideal Energy (Ha)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QPU Energy (Ha)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Error (mHa)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Shot Noise Std Dev (Ha)</w:t>
            </w:r>
          </w:p>
        </w:tc>
      </w:tr>
      <w:tr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theta_0 = -0.100 rad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-639.72424230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-639.69341138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30.8309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0.00163840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theta_0 = -0.050 rad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-639.72424230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-639.69519729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29.0450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0.00162206</w:t>
            </w:r>
          </w:p>
        </w:tc>
      </w:tr>
      <w:tr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theta_0 = +0.000 rad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-639.72424230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-639.69395500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30.2873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0.00160798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theta_0 = +0.050 rad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-639.72424230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-639.69642295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27.8193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0.00159931</w:t>
            </w:r>
          </w:p>
        </w:tc>
      </w:tr>
      <w:tr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theta_0 = +0.100 rad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-639.72424230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-639.69274835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31.4939</w:t>
            </w:r>
          </w:p>
        </w:tc>
        <w:tc>
          <w:tcPr>
            <w:tcW w:type="dxa" w:w="1560"/>
            <w:shd w:fill="F4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0.00163480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landscape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6464"/>
          <w:sz w:val="18"/>
        </w:rPr>
        <w:t>Figure 8: IBM Quantum Heron (ibm_fez) physical hardware evaluation: (a) Absolute energy landscape comparing continuous ideal statevector curve against QPU measured points with shot-noise error bars, and (b) Shift-subtracted relative potential energy surface confirming curvature reproduction.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 xml:space="preserve">[CURVATURE PRESERVATION DESPITE DEVICE NOISE] </w:t>
            </w:r>
            <w:r>
              <w:rPr>
                <w:rFonts w:ascii="Calibri" w:hAnsi="Calibri"/>
                <w:i/>
                <w:color w:val="323232"/>
                <w:sz w:val="19"/>
              </w:rPr>
              <w:t>The physical QPU data reveals that device noise induces a constant positive energy shift (noise floor Delta E ≈ +27.8 to +31.5 mHa) dominated by coherent CNOT over-rotations and measurement assignment errors. When this coherent shift is subtracted, the real hardware faithfully reproduces the theoretical curvature of the potential energy surface, locating the experimental minimum at theta_0 = +0.050 rad. Furthermore, PCU2 achieved a ~4.3x error reduction compared to DexcG (27.8 mHa vs 127.4 mHa) by reducing two-qubit gate depth from 144 to 56.</w:t>
            </w:r>
          </w:p>
        </w:tc>
      </w:tr>
    </w:tbl>
    <w:p>
      <w:pPr>
        <w:spacing w:after="80" w:before="0"/>
      </w:pPr>
    </w:p>
    <w:p>
      <w:pPr>
        <w:pStyle w:val="Heading1"/>
        <w:spacing w:before="320"/>
      </w:pPr>
      <w:r>
        <w:rPr>
          <w:color w:val="1F4E79"/>
        </w:rPr>
        <w:t>6. Conclusions &amp; Recommendations</w:t>
      </w:r>
    </w:p>
    <w:p>
      <w:r>
        <w:t>This benchmark establishes a definitive baseline for quantum chemistry on hexagonal boron-nitride quantum dots:</w:t>
        <w:br/>
        <w:br/>
        <w:t>1. Optimal Classical Simulator Pipeline: UCCSD paired with exact central finite-difference Gradient Descent (eta = 0.05) and zero/random initialization. Reaches 1.14e-10 mHa error in 351 evaluations (6.1 s).</w:t>
        <w:br/>
        <w:br/>
        <w:t>2. Optimal Physical QPU Pipeline: PCU2 paired with SPSA and zero initialization. Requires only 18 two-qubit gates on the Heron architecture, bypassing Trotterization ladders, and accurately reproduces potential energy surfaces with &lt;30 mHa unmitigated error.</w:t>
        <w:br/>
        <w:br/>
        <w:t>3. Key Takeaway: Brillouin's Theorem guarantees that single-excitation gradients vanish at the Hartree-Fock initial state across both minimal and split-valence basis sets, rendering double excitations the primary drivers of variational energy minimization in early iterations.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69696"/>
        <w:sz w:val="17"/>
      </w:rPr>
      <w:t>VQE Benchmark on B8N8H10 Quantum Dot |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