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599F0" w14:textId="31856758" w:rsidR="004F7D9B" w:rsidRPr="00332EBD" w:rsidRDefault="004F7D9B" w:rsidP="004F7D9B">
      <w:pPr>
        <w:rPr>
          <w:rFonts w:ascii="Times New Roman" w:hAnsi="Times New Roman" w:cs="Times New Roman"/>
          <w:sz w:val="28"/>
          <w:szCs w:val="28"/>
        </w:rPr>
      </w:pPr>
      <w:r w:rsidRPr="00332EBD">
        <w:rPr>
          <w:rFonts w:ascii="Times New Roman" w:hAnsi="Times New Roman" w:cs="Times New Roman"/>
          <w:sz w:val="28"/>
          <w:szCs w:val="28"/>
        </w:rPr>
        <w:t xml:space="preserve">Event: </w:t>
      </w:r>
      <w:r w:rsidRPr="00332EBD">
        <w:rPr>
          <w:rFonts w:ascii="Times New Roman" w:hAnsi="Times New Roman" w:cs="Times New Roman"/>
          <w:color w:val="222222"/>
          <w:sz w:val="28"/>
          <w:szCs w:val="28"/>
          <w:shd w:val="clear" w:color="auto" w:fill="FFFFFF"/>
        </w:rPr>
        <w:t xml:space="preserve">In March 2019, the Boeing 737 MAX was </w:t>
      </w:r>
      <w:r w:rsidRPr="00332EBD">
        <w:rPr>
          <w:rFonts w:ascii="Times New Roman" w:hAnsi="Times New Roman" w:cs="Times New Roman"/>
          <w:sz w:val="28"/>
          <w:szCs w:val="28"/>
          <w:shd w:val="clear" w:color="auto" w:fill="FFFFFF"/>
        </w:rPr>
        <w:t>grounded worldwide</w:t>
      </w:r>
      <w:r w:rsidRPr="00332EBD">
        <w:rPr>
          <w:rFonts w:ascii="Times New Roman" w:hAnsi="Times New Roman" w:cs="Times New Roman"/>
          <w:color w:val="222222"/>
          <w:sz w:val="28"/>
          <w:szCs w:val="28"/>
          <w:shd w:val="clear" w:color="auto" w:fill="FFFFFF"/>
        </w:rPr>
        <w:t xml:space="preserve"> following two fatal crashes.</w:t>
      </w:r>
      <w:bookmarkStart w:id="0" w:name="_GoBack"/>
      <w:bookmarkEnd w:id="0"/>
    </w:p>
    <w:p w14:paraId="778F3FF6" w14:textId="77777777" w:rsidR="004F7D9B" w:rsidRDefault="004F7D9B" w:rsidP="004F7D9B">
      <w:pPr>
        <w:rPr>
          <w:rFonts w:ascii="Times New Roman" w:hAnsi="Times New Roman" w:cs="Times New Roman"/>
          <w:sz w:val="28"/>
          <w:szCs w:val="28"/>
        </w:rPr>
      </w:pPr>
      <w:r w:rsidRPr="00332EBD">
        <w:rPr>
          <w:rFonts w:ascii="Times New Roman" w:hAnsi="Times New Roman" w:cs="Times New Roman"/>
          <w:sz w:val="28"/>
          <w:szCs w:val="28"/>
        </w:rPr>
        <w:t xml:space="preserve">Impact: As of November 2019, 15,156 Boeing 737s have been ordered and 10,565 delivered, leaving a backlog of 4,591 aircraft. It was the highest-selling commercial jetliner until being surpassed in total orders by the competing Airbus A320 family by the end of October 2019. Two fatal crashes make </w:t>
      </w:r>
      <w:r>
        <w:rPr>
          <w:rFonts w:ascii="Times New Roman" w:hAnsi="Times New Roman" w:cs="Times New Roman"/>
          <w:sz w:val="28"/>
          <w:szCs w:val="28"/>
        </w:rPr>
        <w:t>airlines unable to use Boeing 737 MAX and customer cancel their plane order.</w:t>
      </w:r>
    </w:p>
    <w:p w14:paraId="4D95ADEA" w14:textId="77777777" w:rsidR="004F7D9B" w:rsidRDefault="004F7D9B" w:rsidP="004F7D9B">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here are effects that will impact Boeing’s financial creditworthiness:</w:t>
      </w:r>
    </w:p>
    <w:p w14:paraId="023DC9FF" w14:textId="77777777" w:rsidR="004F7D9B" w:rsidRPr="00332EBD" w:rsidRDefault="004F7D9B" w:rsidP="004F7D9B">
      <w:pPr>
        <w:rPr>
          <w:rFonts w:ascii="Times New Roman" w:hAnsi="Times New Roman" w:cs="Times New Roman"/>
          <w:sz w:val="28"/>
          <w:szCs w:val="28"/>
        </w:rPr>
      </w:pPr>
      <w:r>
        <w:rPr>
          <w:rFonts w:ascii="Times New Roman" w:hAnsi="Times New Roman" w:cs="Times New Roman"/>
          <w:sz w:val="28"/>
          <w:szCs w:val="28"/>
        </w:rPr>
        <w:t xml:space="preserve">1) </w:t>
      </w:r>
      <w:r w:rsidRPr="00332EBD">
        <w:rPr>
          <w:rFonts w:ascii="Times New Roman" w:hAnsi="Times New Roman" w:cs="Times New Roman"/>
          <w:sz w:val="28"/>
          <w:szCs w:val="28"/>
        </w:rPr>
        <w:t xml:space="preserve">the US Federal Aviation Administration and other aviation authorities </w:t>
      </w:r>
      <w:r>
        <w:rPr>
          <w:rFonts w:ascii="Times New Roman" w:hAnsi="Times New Roman" w:cs="Times New Roman"/>
          <w:sz w:val="28"/>
          <w:szCs w:val="28"/>
        </w:rPr>
        <w:t>do not</w:t>
      </w:r>
      <w:r w:rsidRPr="00332EBD">
        <w:rPr>
          <w:rFonts w:ascii="Times New Roman" w:hAnsi="Times New Roman" w:cs="Times New Roman"/>
          <w:sz w:val="28"/>
          <w:szCs w:val="28"/>
        </w:rPr>
        <w:t xml:space="preserve"> allow the 737 MAX to return to service; </w:t>
      </w:r>
      <w:r>
        <w:rPr>
          <w:rFonts w:ascii="Times New Roman" w:hAnsi="Times New Roman" w:cs="Times New Roman"/>
          <w:sz w:val="28"/>
          <w:szCs w:val="28"/>
        </w:rPr>
        <w:t>2</w:t>
      </w:r>
      <w:r w:rsidRPr="00332EBD">
        <w:rPr>
          <w:rFonts w:ascii="Times New Roman" w:hAnsi="Times New Roman" w:cs="Times New Roman"/>
          <w:sz w:val="28"/>
          <w:szCs w:val="28"/>
        </w:rPr>
        <w:t xml:space="preserve">) Boeing </w:t>
      </w:r>
      <w:r>
        <w:rPr>
          <w:rFonts w:ascii="Times New Roman" w:hAnsi="Times New Roman" w:cs="Times New Roman"/>
          <w:sz w:val="28"/>
          <w:szCs w:val="28"/>
        </w:rPr>
        <w:t>stops</w:t>
      </w:r>
      <w:r w:rsidRPr="00332EBD">
        <w:rPr>
          <w:rFonts w:ascii="Times New Roman" w:hAnsi="Times New Roman" w:cs="Times New Roman"/>
          <w:sz w:val="28"/>
          <w:szCs w:val="28"/>
        </w:rPr>
        <w:t xml:space="preserve"> delivering aircraf</w:t>
      </w:r>
      <w:r>
        <w:rPr>
          <w:rFonts w:ascii="Times New Roman" w:hAnsi="Times New Roman" w:cs="Times New Roman" w:hint="eastAsia"/>
          <w:sz w:val="28"/>
          <w:szCs w:val="28"/>
        </w:rPr>
        <w:t>t</w:t>
      </w:r>
      <w:r>
        <w:rPr>
          <w:rFonts w:ascii="Times New Roman" w:hAnsi="Times New Roman" w:cs="Times New Roman"/>
          <w:sz w:val="28"/>
          <w:szCs w:val="28"/>
        </w:rPr>
        <w:t>, but it still has</w:t>
      </w:r>
      <w:r w:rsidRPr="00332EBD">
        <w:rPr>
          <w:rFonts w:ascii="Times New Roman" w:hAnsi="Times New Roman" w:cs="Times New Roman"/>
          <w:sz w:val="28"/>
          <w:szCs w:val="28"/>
        </w:rPr>
        <w:t xml:space="preserve"> the built inventory of 400 some-odd MAXes </w:t>
      </w:r>
      <w:r>
        <w:rPr>
          <w:rFonts w:ascii="Times New Roman" w:hAnsi="Times New Roman" w:cs="Times New Roman" w:hint="eastAsia"/>
          <w:sz w:val="28"/>
          <w:szCs w:val="28"/>
        </w:rPr>
        <w:t>;</w:t>
      </w:r>
      <w:r w:rsidRPr="00332EBD">
        <w:rPr>
          <w:rFonts w:ascii="Times New Roman" w:hAnsi="Times New Roman" w:cs="Times New Roman"/>
          <w:sz w:val="28"/>
          <w:szCs w:val="28"/>
        </w:rPr>
        <w:t xml:space="preserve"> </w:t>
      </w:r>
      <w:r>
        <w:rPr>
          <w:rFonts w:ascii="Times New Roman" w:hAnsi="Times New Roman" w:cs="Times New Roman"/>
          <w:sz w:val="28"/>
          <w:szCs w:val="28"/>
        </w:rPr>
        <w:t>3</w:t>
      </w:r>
      <w:r w:rsidRPr="00332EBD">
        <w:rPr>
          <w:rFonts w:ascii="Times New Roman" w:hAnsi="Times New Roman" w:cs="Times New Roman"/>
          <w:sz w:val="28"/>
          <w:szCs w:val="28"/>
        </w:rPr>
        <w:t xml:space="preserve">) the across the supply chain effects of the suspension of assembly on its ability; </w:t>
      </w:r>
      <w:r>
        <w:rPr>
          <w:rFonts w:ascii="Times New Roman" w:hAnsi="Times New Roman" w:cs="Times New Roman"/>
          <w:sz w:val="28"/>
          <w:szCs w:val="28"/>
        </w:rPr>
        <w:t>4</w:t>
      </w:r>
      <w:r w:rsidRPr="00332EBD">
        <w:rPr>
          <w:rFonts w:ascii="Times New Roman" w:hAnsi="Times New Roman" w:cs="Times New Roman"/>
          <w:sz w:val="28"/>
          <w:szCs w:val="28"/>
        </w:rPr>
        <w:t>) the additional separate charges to the 737 program and for additional compensation to customers that Boeing will likely report</w:t>
      </w:r>
      <w:r>
        <w:rPr>
          <w:rFonts w:ascii="Times New Roman" w:hAnsi="Times New Roman" w:cs="Times New Roman"/>
          <w:sz w:val="28"/>
          <w:szCs w:val="28"/>
        </w:rPr>
        <w:t>; 5)</w:t>
      </w:r>
      <w:r w:rsidRPr="00332EBD">
        <w:rPr>
          <w:rFonts w:ascii="Times New Roman" w:hAnsi="Times New Roman" w:cs="Times New Roman"/>
          <w:sz w:val="28"/>
          <w:szCs w:val="28"/>
        </w:rPr>
        <w:t xml:space="preserve"> near-term liquidity</w:t>
      </w:r>
      <w:r>
        <w:rPr>
          <w:rFonts w:ascii="Times New Roman" w:hAnsi="Times New Roman" w:cs="Times New Roman"/>
          <w:sz w:val="28"/>
          <w:szCs w:val="28"/>
        </w:rPr>
        <w:t xml:space="preserve"> is also effected because of this event</w:t>
      </w:r>
      <w:r w:rsidRPr="00332EBD">
        <w:rPr>
          <w:rFonts w:ascii="Times New Roman" w:hAnsi="Times New Roman" w:cs="Times New Roman"/>
          <w:sz w:val="28"/>
          <w:szCs w:val="28"/>
        </w:rPr>
        <w:t>.</w:t>
      </w:r>
    </w:p>
    <w:p w14:paraId="177AE2E7" w14:textId="77777777" w:rsidR="004F7D9B" w:rsidRPr="00332EBD" w:rsidRDefault="004F7D9B" w:rsidP="004F7D9B">
      <w:pPr>
        <w:rPr>
          <w:rFonts w:ascii="Times New Roman" w:hAnsi="Times New Roman" w:cs="Times New Roman"/>
          <w:sz w:val="28"/>
          <w:szCs w:val="28"/>
        </w:rPr>
      </w:pPr>
      <w:r w:rsidRPr="00332EBD">
        <w:rPr>
          <w:rFonts w:ascii="Times New Roman" w:hAnsi="Times New Roman" w:cs="Times New Roman"/>
          <w:sz w:val="28"/>
          <w:szCs w:val="28"/>
        </w:rPr>
        <w:t>Each of the above items will influence the extent of the company's near-term reliance on external funding, its future earnings and cash flows and the time needed to restore its financial profile to pre-grounding levels following the aircraft's return to service and the restoration of the production system.</w:t>
      </w:r>
    </w:p>
    <w:p w14:paraId="67F1E463" w14:textId="605F724A" w:rsidR="000C7848" w:rsidRDefault="004F7D9B" w:rsidP="004F7D9B">
      <w:r w:rsidRPr="00332EBD">
        <w:rPr>
          <w:rFonts w:ascii="Times New Roman" w:hAnsi="Times New Roman" w:cs="Times New Roman"/>
          <w:sz w:val="28"/>
          <w:szCs w:val="28"/>
        </w:rPr>
        <w:lastRenderedPageBreak/>
        <w:t>The longer the grounding runs into 2020, the higher customers' claims for compensation, as well as other costs, will climb. The longer the supply chain is idled, the greater the risk to a timely restoration of the ensuing desired monthly production rates. The increasing program costs that will be accrued and realized pro-rata with future deliveries, along with anticipated increases in compensation claims by airlines, will lower the 737 program margins and cash generation for years to come.</w:t>
      </w:r>
      <w:r>
        <w:rPr>
          <w:rFonts w:ascii="Times New Roman" w:hAnsi="Times New Roman" w:cs="Times New Roman"/>
          <w:sz w:val="28"/>
          <w:szCs w:val="28"/>
        </w:rPr>
        <w:t xml:space="preserve"> As a result, Boeing’s financial creditworthiness is downgraded.</w:t>
      </w:r>
    </w:p>
    <w:sectPr w:rsidR="000C78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75703" w14:textId="77777777" w:rsidR="004F7D9B" w:rsidRDefault="004F7D9B" w:rsidP="004F7D9B">
      <w:pPr>
        <w:spacing w:after="0" w:line="240" w:lineRule="auto"/>
      </w:pPr>
      <w:r>
        <w:separator/>
      </w:r>
    </w:p>
  </w:endnote>
  <w:endnote w:type="continuationSeparator" w:id="0">
    <w:p w14:paraId="5D3BDA2E" w14:textId="77777777" w:rsidR="004F7D9B" w:rsidRDefault="004F7D9B" w:rsidP="004F7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3C87D" w14:textId="77777777" w:rsidR="004F7D9B" w:rsidRDefault="004F7D9B" w:rsidP="004F7D9B">
      <w:pPr>
        <w:spacing w:after="0" w:line="240" w:lineRule="auto"/>
      </w:pPr>
      <w:r>
        <w:separator/>
      </w:r>
    </w:p>
  </w:footnote>
  <w:footnote w:type="continuationSeparator" w:id="0">
    <w:p w14:paraId="1BF3C92C" w14:textId="77777777" w:rsidR="004F7D9B" w:rsidRDefault="004F7D9B" w:rsidP="004F7D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FA"/>
    <w:rsid w:val="000C7848"/>
    <w:rsid w:val="003637C7"/>
    <w:rsid w:val="004F7D9B"/>
    <w:rsid w:val="00717E6E"/>
    <w:rsid w:val="00D35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D360F"/>
  <w15:chartTrackingRefBased/>
  <w15:docId w15:val="{D25AAC62-95D7-43FA-A7B4-A2C1EC07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D9B"/>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D9B"/>
    <w:pPr>
      <w:widowControl w:val="0"/>
      <w:pBdr>
        <w:bottom w:val="single" w:sz="6" w:space="1" w:color="auto"/>
      </w:pBdr>
      <w:tabs>
        <w:tab w:val="center" w:pos="4153"/>
        <w:tab w:val="right" w:pos="8306"/>
      </w:tabs>
      <w:snapToGrid w:val="0"/>
      <w:spacing w:after="0" w:line="240" w:lineRule="auto"/>
      <w:jc w:val="center"/>
    </w:pPr>
    <w:rPr>
      <w:kern w:val="2"/>
      <w:sz w:val="18"/>
      <w:szCs w:val="18"/>
    </w:rPr>
  </w:style>
  <w:style w:type="character" w:customStyle="1" w:styleId="a4">
    <w:name w:val="页眉 字符"/>
    <w:basedOn w:val="a0"/>
    <w:link w:val="a3"/>
    <w:uiPriority w:val="99"/>
    <w:rsid w:val="004F7D9B"/>
    <w:rPr>
      <w:sz w:val="18"/>
      <w:szCs w:val="18"/>
    </w:rPr>
  </w:style>
  <w:style w:type="paragraph" w:styleId="a5">
    <w:name w:val="footer"/>
    <w:basedOn w:val="a"/>
    <w:link w:val="a6"/>
    <w:uiPriority w:val="99"/>
    <w:unhideWhenUsed/>
    <w:rsid w:val="004F7D9B"/>
    <w:pPr>
      <w:widowControl w:val="0"/>
      <w:tabs>
        <w:tab w:val="center" w:pos="4153"/>
        <w:tab w:val="right" w:pos="8306"/>
      </w:tabs>
      <w:snapToGrid w:val="0"/>
      <w:spacing w:after="0" w:line="240" w:lineRule="auto"/>
    </w:pPr>
    <w:rPr>
      <w:kern w:val="2"/>
      <w:sz w:val="18"/>
      <w:szCs w:val="18"/>
    </w:rPr>
  </w:style>
  <w:style w:type="character" w:customStyle="1" w:styleId="a6">
    <w:name w:val="页脚 字符"/>
    <w:basedOn w:val="a0"/>
    <w:link w:val="a5"/>
    <w:uiPriority w:val="99"/>
    <w:rsid w:val="004F7D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垠光</dc:creator>
  <cp:keywords/>
  <dc:description/>
  <cp:lastModifiedBy>朱 垠光</cp:lastModifiedBy>
  <cp:revision>4</cp:revision>
  <dcterms:created xsi:type="dcterms:W3CDTF">2020-01-16T06:07:00Z</dcterms:created>
  <dcterms:modified xsi:type="dcterms:W3CDTF">2020-01-16T06:20:00Z</dcterms:modified>
</cp:coreProperties>
</file>