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7068C"/>
          <w:sz w:val="20"/>
          <w:szCs w:val="20"/>
        </w:rPr>
        <w:t xml:space="preserve">NYU STERN MBA — EQ ENDORSEMENT</w:t>
      </w:r>
    </w:p>
    <w:p>
      <w:pPr>
        <w:spacing w:after="40"/>
      </w:pPr>
      <w:r>
        <w:rPr>
          <w:b/>
          <w:bCs/>
          <w:sz w:val="34"/>
          <w:szCs w:val="34"/>
        </w:rPr>
        <w:t xml:space="preserve">The Model &amp; Your Working Draft</w:t>
      </w:r>
    </w:p>
    <w:p>
      <w:pPr>
        <w:spacing w:after="200"/>
      </w:pPr>
      <w:r>
        <w:rPr>
          <w:i/>
          <w:iCs/>
          <w:color w:val="666666"/>
          <w:sz w:val="18"/>
          <w:szCs w:val="18"/>
        </w:rPr>
        <w:t xml:space="preserve">Endorser: Col Timothy W. Johnson, USA  •  Applicant: Capt. Ryan P. Degnan, USMC  •  Prepared by your admissions consultant</w:t>
      </w:r>
    </w:p>
    <w:p>
      <w:pPr>
        <w:pStyle w:val="Heading1"/>
      </w:pPr>
      <w:r>
        <w:t xml:space="preserve">1. What the EQ Endorsement actually is</w:t>
      </w:r>
    </w:p>
    <w:p>
      <w:pPr>
        <w:spacing w:after="120"/>
      </w:pPr>
      <w:r>
        <w:t xml:space="preserve">Stern does not use a traditional recommendation letter. It uses the EQ Endorsement — Stern’s signature requirement, built around its “IQ + EQ” core value. Your endorser completes two things: a rating grid (you vs. your peers) and five short-answer questions. Answers can be typed into the form or uploaded as a Word/PDF document.</w:t>
      </w:r>
    </w:p>
    <w:p>
      <w:pPr>
        <w:spacing w:after="120"/>
      </w:pPr>
      <w:r>
        <w:t xml:space="preserve">Two rules that matter for you: it must come from your current supervisor, or you must briefly explain why it doesn’t (your Optional essay handles the Col Johnson choice). A second endorsement is optional and may come from a peer or even a subordinate — a strong play for a Marine officer.</w:t>
      </w:r>
    </w:p>
    <w:p>
      <w:pPr>
        <w:spacing w:after="120"/>
      </w:pPr>
      <w:r>
        <w:rPr>
          <w:b/>
          <w:bCs/>
        </w:rPr>
        <w:t xml:space="preserve">The “blanket model” the AdComm mentioned: </w:t>
      </w:r>
      <w:r>
        <w:t xml:space="preserve">they were pointing you at the </w:t>
      </w:r>
      <w:r>
        <w:rPr>
          <w:b/>
          <w:bCs/>
        </w:rPr>
        <w:t xml:space="preserve">GMAC Common Letter of Recommendation</w:t>
      </w:r>
      <w:r>
        <w:t xml:space="preserve"> — the standardized format most M7/Top-15 schools share. Stern’s EQ Endorsement is its own variant of that same skeleton: compare-to-peers, principal strengths, and the constructive-feedback-and-response question are lifted almost directly from the GMAC model, with the EQ example added on top. Build this well once and it travels to every other school you apply to.</w:t>
      </w:r>
    </w:p>
    <w:p>
      <w:pPr>
        <w:pStyle w:val="Heading1"/>
      </w:pPr>
      <w:r>
        <w:t xml:space="preserve">2. The rating grid (your endorser scores you vs. peers)</w:t>
      </w:r>
    </w:p>
    <w:p>
      <w:pPr>
        <w:spacing w:after="120"/>
      </w:pPr>
      <w:r>
        <w:t xml:space="preserve">Stern asks the endorser to rate you against peers on the dimensions below. These are guidance for Col Johnson — note the deliberate choice NOT to score every box at the ceiling. One honest “growth” area (tied to the feedback story in Section 3) makes the whole endorsement more believable, not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c>
          <w:tcPr>
            <w:tcW w:type="dxa" w:w="3100"/>
            <w:tcBorders>
              <w:top w:val="single" w:color="CCCCCC" w:sz="1"/>
              <w:left w:val="single" w:color="CCCCCC" w:sz="1"/>
              <w:bottom w:val="single" w:color="CCCCCC" w:sz="1"/>
              <w:right w:val="single" w:color="CCCCCC" w:sz="1"/>
            </w:tcBorders>
            <w:shd w:fill="EDE3F2" w:val="clear"/>
            <w:tcMar>
              <w:top w:type="dxa" w:w="80"/>
              <w:left w:type="dxa" w:w="120"/>
              <w:bottom w:type="dxa" w:w="80"/>
              <w:right w:type="dxa" w:w="120"/>
            </w:tcMar>
          </w:tcPr>
          <w:p>
            <w:r>
              <w:rPr>
                <w:b/>
                <w:bCs/>
                <w:i w:val="false"/>
                <w:iCs w:val="false"/>
              </w:rPr>
              <w:t xml:space="preserve">Dimension</w:t>
            </w:r>
          </w:p>
        </w:tc>
        <w:tc>
          <w:tcPr>
            <w:tcW w:type="dxa" w:w="2400"/>
            <w:tcBorders>
              <w:top w:val="single" w:color="CCCCCC" w:sz="1"/>
              <w:left w:val="single" w:color="CCCCCC" w:sz="1"/>
              <w:bottom w:val="single" w:color="CCCCCC" w:sz="1"/>
              <w:right w:val="single" w:color="CCCCCC" w:sz="1"/>
            </w:tcBorders>
            <w:shd w:fill="EDE3F2" w:val="clear"/>
            <w:tcMar>
              <w:top w:type="dxa" w:w="80"/>
              <w:left w:type="dxa" w:w="120"/>
              <w:bottom w:type="dxa" w:w="80"/>
              <w:right w:type="dxa" w:w="120"/>
            </w:tcMar>
          </w:tcPr>
          <w:p>
            <w:r>
              <w:rPr>
                <w:b/>
                <w:bCs/>
                <w:i w:val="false"/>
                <w:iCs w:val="false"/>
              </w:rPr>
              <w:t xml:space="preserve">Suggested rating</w:t>
            </w:r>
          </w:p>
        </w:tc>
        <w:tc>
          <w:tcPr>
            <w:tcW w:type="dxa" w:w="3860"/>
            <w:tcBorders>
              <w:top w:val="single" w:color="CCCCCC" w:sz="1"/>
              <w:left w:val="single" w:color="CCCCCC" w:sz="1"/>
              <w:bottom w:val="single" w:color="CCCCCC" w:sz="1"/>
              <w:right w:val="single" w:color="CCCCCC" w:sz="1"/>
            </w:tcBorders>
            <w:shd w:fill="EDE3F2" w:val="clear"/>
            <w:tcMar>
              <w:top w:type="dxa" w:w="80"/>
              <w:left w:type="dxa" w:w="120"/>
              <w:bottom w:type="dxa" w:w="80"/>
              <w:right w:type="dxa" w:w="120"/>
            </w:tcMar>
          </w:tcPr>
          <w:p>
            <w:r>
              <w:rPr>
                <w:b/>
                <w:bCs/>
                <w:i w:val="false"/>
                <w:iCs w:val="false"/>
              </w:rPr>
              <w:t xml:space="preserve">Why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Analytical / Quantitative 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Top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Built the 21-country logistics COP; Economics degree.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Initiative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Top 1–2% (ceiling)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Signature strength — built tools no one tasked him to build.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Leadership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Top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Led coalition + subordinate teams under drawdown pressure.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Integrity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Top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Zero-discrepancy on a $250K, 2,000-item account.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Emotional Intelligence (EQ)</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Top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Coalition relationship-building; absorbs hard feedback.</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Oral / Written Communication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Top 5–10%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Briefed senior leaders daily; authored staff products.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Teamwork / Professionalism / Maturity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Top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Steady and trusted across a joint HQ.</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Patience / Delegation (growth area)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Above average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The honest one — ties to the feedback in Section 3.</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OVERALL recommendation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Highest / Truly exceptional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iCs/>
              </w:rPr>
              <w:t xml:space="preserve"/>
            </w:r>
          </w:p>
        </w:tc>
      </w:tr>
    </w:tbl>
    <w:p>
      <w:pPr>
        <w:pStyle w:val="Heading1"/>
      </w:pPr>
      <w:r>
        <w:t xml:space="preserve">3. The five questions — your rewritten draft</w:t>
      </w:r>
    </w:p>
    <w:p>
      <w:pPr>
        <w:spacing w:after="120"/>
      </w:pPr>
      <w:r>
        <w:rPr>
          <w:i/>
          <w:iCs/>
        </w:rPr>
        <w:t xml:space="preserve">Written in Col Johnson’s voice, built from your real record (the J4 tour, the MCS COP layer, the 81% transport-time reduction, the “understand the boss’s intent” lesson). Anything in [brackets] is a specific I need you or Col J to confirm — see Section 5.</w:t>
      </w:r>
    </w:p>
    <w:p>
      <w:pPr>
        <w:pStyle w:val="Heading2"/>
      </w:pPr>
      <w:r>
        <w:t xml:space="preserve">Q1. Brief description of your interaction with the applicant and his role.</w:t>
      </w:r>
    </w:p>
    <w:p>
      <w:pPr>
        <w:spacing w:after="120"/>
      </w:pPr>
      <w:r>
        <w:t xml:space="preserve">“I served as the J4 Director — the senior logistics officer — for Combined Special Operations Joint Task Force–Central, and Captain (then First Lieutenant) Ryan Degnan was my Logistics Current-Operations Officer from March to August 2025 at Camp Xiphos, Jordan. For five months we worked side by side, frequently on twelve-hour shifts, directing logistics for special-operations forces across 21 countries during one of the most consequential force drawdowns in the theater. In twenty-plus years I have supervised dozens of junior officers; I came to know Ryan as well as any I have ever led.”</w:t>
      </w:r>
    </w:p>
    <w:p>
      <w:pPr>
        <w:pStyle w:val="Heading2"/>
      </w:pPr>
      <w:r>
        <w:t xml:space="preserve">Q2. How does the applicant compare to other well-qualified individuals?</w:t>
      </w:r>
    </w:p>
    <w:p>
      <w:pPr>
        <w:spacing w:after="120"/>
      </w:pPr>
      <w:r>
        <w:t xml:space="preserve">“Ryan is in the top one to two percent of junior officers I have supervised. The billet he filled is normally held by a more senior joint-qualified officer; Ryan not only held it as a Marine First Lieutenant, he outperformed peers several years his senior. The clearest proof is that the tools and processes he built were adopted by the entire staff and outlived his tour — the mark of someone operating well above his grade.”</w:t>
      </w:r>
    </w:p>
    <w:p>
      <w:pPr>
        <w:pStyle w:val="Heading2"/>
      </w:pPr>
      <w:r>
        <w:t xml:space="preserve">Q3. Principal strengths / specific examples.</w:t>
      </w:r>
    </w:p>
    <w:p>
      <w:pPr>
        <w:spacing w:after="120"/>
      </w:pPr>
      <w:r>
        <w:t xml:space="preserve">“Ryan’s defining strength is converting ambiguity into systems. Unprompted, he designed and built the J4 logistics common-operating-picture — a real-time dashboard integrating flights, vehicle readiness, supply routes, and diplomatic clearance times across 21 countries. It became the command’s daily decision tool for senior leaders. He then brokered an agreement among the task force, special-operations commands, and partner forces that cut transport-request processing time by 81 percent, from 21 days to four — all while planning the $13.1M retrograde of seven forward bases. On the EQ side, his ability to build trust with coalition partners, including the French special-forces liaison, was the quiet reason those agreements held.”</w:t>
      </w:r>
    </w:p>
    <w:p>
      <w:pPr>
        <w:pStyle w:val="Heading2"/>
      </w:pPr>
      <w:r>
        <w:t xml:space="preserve">Q4. The most important piece of constructive feedback you gave him.</w:t>
      </w:r>
    </w:p>
    <w:p>
      <w:pPr>
        <w:spacing w:after="120"/>
      </w:pPr>
      <w:r>
        <w:t xml:space="preserve">“Early in our time together, Ryan was a flawless executor: he would take a tasking and complete it precisely as stated. But in a headquarters moving at our speed, precise execution of the literal task sometimes missed what the commanding general actually needed. After a logistics brief where Ryan delivered exactly what was asked — but not what the General was driving toward — I pulled him aside and told him directly: your job is not to answer the question I ask; it is to anticipate the question I haven’t asked yet. Learn to see two steps ahead of your commander’s intent.”</w:t>
      </w:r>
    </w:p>
    <w:p>
      <w:pPr>
        <w:pStyle w:val="Heading2"/>
      </w:pPr>
      <w:r>
        <w:t xml:space="preserve">Q5. The circumstances and the applicant’s response.</w:t>
      </w:r>
    </w:p>
    <w:p>
      <w:pPr>
        <w:spacing w:after="120"/>
      </w:pPr>
      <w:r>
        <w:t xml:space="preserve">“What Ryan did next is why I am endorsing him without reservation. He did not get defensive and he did not over-apologize — he asked to sit in on more of the commander’s update briefs so he could learn to read intent for himself. Within weeks he was surfacing requirements before they were tasked. The MCS COP dashboard was a direct result — he anticipated that leaders needed one real-time picture before anyone asked for it — and so was the transport-time fix, because he saw the bottleneck before it reached the General’s desk. I have rarely watched a young officer internalize hard feedback so completely and turn it into a capability that outlasted him. That is emotional intelligence in its most useful form: he heard a difficult truth about himself, owned it, and built something better.”</w:t>
      </w:r>
    </w:p>
    <w:p>
      <w:pPr>
        <w:spacing w:after="60"/>
      </w:pPr>
      <w:r>
        <w:t xml:space="preserve"/>
      </w:r>
    </w:p>
    <w:p>
      <w:pPr>
        <w:spacing w:after="120"/>
      </w:pPr>
      <w:r>
        <w:rPr>
          <w:b/>
          <w:bCs/>
        </w:rPr>
        <w:t xml:space="preserve">Why this beats what you had: </w:t>
      </w:r>
      <w:r>
        <w:t xml:space="preserve">it answers the prompt the way Stern wrote it (Col J giving </w:t>
      </w:r>
      <w:r>
        <w:rPr>
          <w:i/>
          <w:iCs/>
        </w:rPr>
        <w:t xml:space="preserve">you</w:t>
      </w:r>
      <w:r>
        <w:t xml:space="preserve"> feedback, not you crediting him), ties the feedback to measurable results, and ends on the EQ marker AdComms look for — absorbing criticism without ego.</w:t>
      </w:r>
    </w:p>
    <w:p>
      <w:pPr>
        <w:pStyle w:val="Heading1"/>
      </w:pPr>
      <w:r>
        <w:t xml:space="preserve">4. Military-to-civilian translation (so Col J’s language lands)</w:t>
      </w:r>
    </w:p>
    <w:p>
      <w:pPr>
        <w:spacing w:after="120"/>
      </w:pPr>
      <w:r>
        <w:t xml:space="preserve">Civilian readers will not parse joint-logistics jargon. Give Col Johnson this cheat sheet so the endorsement reads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DE3F2" w:val="clear"/>
            <w:tcMar>
              <w:top w:type="dxa" w:w="80"/>
              <w:left w:type="dxa" w:w="120"/>
              <w:bottom w:type="dxa" w:w="80"/>
              <w:right w:type="dxa" w:w="120"/>
            </w:tcMar>
          </w:tcPr>
          <w:p>
            <w:r>
              <w:rPr>
                <w:b/>
                <w:bCs/>
                <w:i w:val="false"/>
                <w:iCs w:val="false"/>
              </w:rPr>
              <w:t xml:space="preserve">What Col J might write</w:t>
            </w:r>
          </w:p>
        </w:tc>
        <w:tc>
          <w:tcPr>
            <w:tcW w:type="dxa" w:w="4680"/>
            <w:tcBorders>
              <w:top w:val="single" w:color="CCCCCC" w:sz="1"/>
              <w:left w:val="single" w:color="CCCCCC" w:sz="1"/>
              <w:bottom w:val="single" w:color="CCCCCC" w:sz="1"/>
              <w:right w:val="single" w:color="CCCCCC" w:sz="1"/>
            </w:tcBorders>
            <w:shd w:fill="EDE3F2" w:val="clear"/>
            <w:tcMar>
              <w:top w:type="dxa" w:w="80"/>
              <w:left w:type="dxa" w:w="120"/>
              <w:bottom w:type="dxa" w:w="80"/>
              <w:right w:type="dxa" w:w="120"/>
            </w:tcMar>
          </w:tcPr>
          <w:p>
            <w:r>
              <w:rPr>
                <w:b/>
                <w:bCs/>
                <w:i w:val="false"/>
                <w:iCs w:val="false"/>
              </w:rPr>
              <w:t xml:space="preserve">Plain-English equivalent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J4 / J4 Director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Senior logistics officer / head of logistics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Billet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Role or position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Retrograde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Drawdown / divestiture of equipment and bases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Key Leader Engagement (KLE)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Executive stakeholder negotiation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Common Operating Picture (COP)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Real-time operations dashboard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Transport Movement Request (TMR)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Shipment / logistics-movement request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Down-trace units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Subordinate teams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Commander’s intent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rPr>
              <w:t xml:space="preserve">The boss’s underlying goal / strategic aim</w:t>
            </w:r>
          </w:p>
        </w:tc>
      </w:tr>
    </w:tbl>
    <w:p>
      <w:pPr>
        <w:pStyle w:val="Heading1"/>
      </w:pPr>
      <w:r>
        <w:t xml:space="preserve">5. What I still need from you (to lock the feedback story)</w:t>
      </w:r>
    </w:p>
    <w:p>
      <w:pPr>
        <w:pStyle w:val="ListParagraph"/>
        <w:numPr>
          <w:ilvl w:val="0"/>
          <w:numId w:val="2"/>
        </w:numPr>
        <w:spacing w:after="60"/>
      </w:pPr>
      <w:r>
        <w:t xml:space="preserve">The triggering scene: which brief or tasking was it where you delivered the literal answer but missed the General’s intent? Even a rough memory (topic, roughly when).</w:t>
      </w:r>
    </w:p>
    <w:p>
      <w:pPr>
        <w:pStyle w:val="ListParagraph"/>
        <w:numPr>
          <w:ilvl w:val="0"/>
          <w:numId w:val="2"/>
        </w:numPr>
        <w:spacing w:after="60"/>
      </w:pPr>
      <w:r>
        <w:t xml:space="preserve">Did Col Johnson use a specific phrase when he coached you? His exact words make this unforgettable — quote him if you can.</w:t>
      </w:r>
    </w:p>
    <w:p>
      <w:pPr>
        <w:pStyle w:val="ListParagraph"/>
        <w:numPr>
          <w:ilvl w:val="0"/>
          <w:numId w:val="2"/>
        </w:numPr>
        <w:spacing w:after="60"/>
      </w:pPr>
      <w:r>
        <w:t xml:space="preserve">Confirm the sequence: did the “intent” lesson come BEFORE you built the MCS COP / drove the 81% reduction? If yes, the cause-and-effect above is airtight.</w:t>
      </w:r>
    </w:p>
    <w:p>
      <w:pPr>
        <w:pStyle w:val="ListParagraph"/>
        <w:numPr>
          <w:ilvl w:val="0"/>
          <w:numId w:val="2"/>
        </w:numPr>
        <w:spacing w:after="60"/>
      </w:pPr>
      <w:r>
        <w:t xml:space="preserve">One small EQ moment outside the feedback arc — a time you helped a struggling teammate or defused friction. Optional, but it strengthens Q3.</w:t>
      </w:r>
    </w:p>
    <w:p>
      <w:pPr>
        <w:pStyle w:val="Heading1"/>
      </w:pPr>
      <w:r>
        <w:t xml:space="preserve">Sources</w:t>
      </w:r>
    </w:p>
    <w:p>
      <w:pPr>
        <w:pStyle w:val="ListParagraph"/>
        <w:numPr>
          <w:ilvl w:val="0"/>
          <w:numId w:val="2"/>
        </w:numPr>
        <w:spacing w:after="40"/>
      </w:pPr>
      <w:hyperlink w:history="1" r:id="rIdoikogvox6t-vwnrwf_6iz">
        <w:r>
          <w:rPr>
            <w:rStyle w:val="Hyperlink"/>
          </w:rPr>
          <w:t xml:space="preserve">NYU Stern — EQ Endorsements (official)</w:t>
        </w:r>
      </w:hyperlink>
    </w:p>
    <w:p>
      <w:pPr>
        <w:pStyle w:val="ListParagraph"/>
        <w:numPr>
          <w:ilvl w:val="0"/>
          <w:numId w:val="2"/>
        </w:numPr>
        <w:spacing w:after="40"/>
      </w:pPr>
      <w:hyperlink w:history="1" r:id="rIdy3y8zkarrefs-lcptocqj">
        <w:r>
          <w:rPr>
            <w:rStyle w:val="Hyperlink"/>
          </w:rPr>
          <w:t xml:space="preserve">Clear Admit — NYU Stern Recommendation Questions</w:t>
        </w:r>
      </w:hyperlink>
    </w:p>
    <w:p>
      <w:pPr>
        <w:pStyle w:val="ListParagraph"/>
        <w:numPr>
          <w:ilvl w:val="0"/>
          <w:numId w:val="2"/>
        </w:numPr>
        <w:spacing w:after="40"/>
      </w:pPr>
      <w:hyperlink w:history="1" r:id="rIdhqld_u7wayiqn-ffj3zbh">
        <w:r>
          <w:rPr>
            <w:rStyle w:val="Hyperlink"/>
          </w:rPr>
          <w:t xml:space="preserve">GMAC Common Letter of Recommendation (template)</w:t>
        </w:r>
      </w:hyperlink>
    </w:p>
    <w:p>
      <w:pPr>
        <w:pStyle w:val="ListParagraph"/>
        <w:numPr>
          <w:ilvl w:val="0"/>
          <w:numId w:val="2"/>
        </w:numPr>
        <w:spacing w:after="40"/>
      </w:pPr>
      <w:hyperlink w:history="1" r:id="rId6svk5zh7refwjgehlp3ae">
        <w:r>
          <w:rPr>
            <w:rStyle w:val="Hyperlink"/>
          </w:rPr>
          <w:t xml:space="preserve">Clear Admit — GMAC Common LOR Analysis</w:t>
        </w:r>
      </w:hyperlink>
    </w:p>
    <w:p>
      <w:pPr>
        <w:pStyle w:val="ListParagraph"/>
        <w:numPr>
          <w:ilvl w:val="0"/>
          <w:numId w:val="2"/>
        </w:numPr>
        <w:spacing w:after="40"/>
      </w:pPr>
      <w:hyperlink w:history="1" r:id="rId07negsk0anarov5bsnhkx">
        <w:r>
          <w:rPr>
            <w:rStyle w:val="Hyperlink"/>
          </w:rPr>
          <w:t xml:space="preserve">Oriel Admissions — How to Approach the Stern EQ Endorsement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57068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5C0A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kogvox6t-vwnrwf_6iz" Type="http://schemas.openxmlformats.org/officeDocument/2006/relationships/hyperlink" Target="https://www.stern.nyu.edu/programs-admissions/mba-programs/admissions/eq-endorsements" TargetMode="External"/><Relationship Id="rIdy3y8zkarrefs-lcptocqj" Type="http://schemas.openxmlformats.org/officeDocument/2006/relationships/hyperlink" Target="https://www.clearadmit.com/mba-admissions-recommendation-questions/nyu-stern-mba-recommendation-questions/" TargetMode="External"/><Relationship Id="rIdhqld_u7wayiqn-ffj3zbh" Type="http://schemas.openxmlformats.org/officeDocument/2006/relationships/hyperlink" Target="https://www.gmac.com/reach-and-recruit-students/prepare-candidates-for-the-exam-classroom/common-letter-of-recommendation-lor" TargetMode="External"/><Relationship Id="rId6svk5zh7refwjgehlp3ae" Type="http://schemas.openxmlformats.org/officeDocument/2006/relationships/hyperlink" Target="https://www.clearadmit.com/mba-admissions-recommendation-questions/gmac-letter-of-recommendation-analysis/" TargetMode="External"/><Relationship Id="rId07negsk0anarov5bsnhkx" Type="http://schemas.openxmlformats.org/officeDocument/2006/relationships/hyperlink" Target="https://orieladmissions.com/nyu-stern-eq-endorsemen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2026-06-08T00:34:57.685Z</dcterms:created>
  <dcterms:modified xsi:type="dcterms:W3CDTF">2026-06-08T00:34:57.686Z</dcterms:modified>
</cp:coreProperties>
</file>

<file path=docProps/custom.xml><?xml version="1.0" encoding="utf-8"?>
<Properties xmlns="http://schemas.openxmlformats.org/officeDocument/2006/custom-properties" xmlns:vt="http://schemas.openxmlformats.org/officeDocument/2006/docPropsVTypes"/>
</file>