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6C3DF4"/>
          <w:sz w:val="56"/>
        </w:rPr>
        <w:t>SPACELONX ($SLX)</w:t>
      </w:r>
    </w:p>
    <w:p>
      <w:pPr>
        <w:jc w:val="center"/>
      </w:pPr>
      <w:r>
        <w:rPr>
          <w:b/>
          <w:color w:val="231946"/>
          <w:sz w:val="40"/>
        </w:rPr>
        <w:t>Smart Contract Audit Report</w:t>
      </w:r>
    </w:p>
    <w:p>
      <w:pPr>
        <w:jc w:val="center"/>
      </w:pPr>
      <w:r>
        <w:rPr>
          <w:color w:val="5A5073"/>
          <w:sz w:val="22"/>
        </w:rPr>
        <w:t>Version 1.0 - Preliminary professional security review</w:t>
      </w:r>
    </w:p>
    <w:p>
      <w:pPr>
        <w:jc w:val="center"/>
      </w:pPr>
      <w:r>
        <w:rPr>
          <w:color w:val="5A5073"/>
          <w:sz w:val="20"/>
        </w:rPr>
        <w:t>Date: 02 June 2026</w:t>
      </w:r>
    </w:p>
    <w:tbl>
      <w:tblPr>
        <w:tblW w:type="auto" w:w="0"/>
        <w:jc w:val="center"/>
        <w:tblLook w:firstColumn="1" w:firstRow="1" w:lastColumn="0" w:lastRow="0" w:noHBand="0" w:noVBand="1" w:val="04A0"/>
      </w:tblPr>
      <w:tblGrid>
        <w:gridCol w:w="10166"/>
      </w:tblGrid>
      <w:tr>
        <w:tc>
          <w:tcPr>
            <w:tcW w:type="dxa" w:w="10166"/>
            <w:shd w:fill="FFF4E5"/>
            <w:tcMar>
              <w:top w:w="160" w:type="dxa"/>
              <w:start w:w="180" w:type="dxa"/>
              <w:bottom w:w="160" w:type="dxa"/>
              <w:end w:w="180" w:type="dxa"/>
            </w:tcMar>
          </w:tcPr>
          <w:p>
            <w:r>
              <w:rPr>
                <w:rFonts w:ascii="Aptos" w:hAnsi="Aptos"/>
                <w:b/>
                <w:color w:val="402A82"/>
                <w:sz w:val="20"/>
              </w:rPr>
              <w:t>Important scope limitation</w:t>
            </w:r>
          </w:p>
          <w:p>
            <w:pPr>
              <w:spacing w:after="0"/>
            </w:pPr>
            <w:r>
              <w:rPr>
                <w:rFonts w:ascii="Aptos" w:hAnsi="Aptos"/>
                <w:sz w:val="18"/>
              </w:rPr>
              <w:t>This report is a professional preliminary audit document prepared from the project information available during review: the public contract repository README, declared token parameters, the Polygon Amoy contract address, and project architecture information. It is not a final mainnet certification because the complete Solidity source tree, test suite, deployment scripts and static-analysis outputs were not available inside the repository during this preparation session.</w:t>
            </w:r>
          </w:p>
        </w:tc>
      </w:tr>
    </w:tbl>
    <w:p>
      <w:pPr>
        <w:pStyle w:val="Heading1"/>
      </w:pPr>
      <w:r>
        <w:rPr>
          <w:rFonts w:ascii="Aptos Display" w:hAnsi="Aptos Display"/>
          <w:color w:val="402A82"/>
        </w:rPr>
        <w:t>Project Snapshot</w:t>
      </w:r>
    </w:p>
    <w:tbl>
      <w:tblPr>
        <w:tblStyle w:val="TableGrid"/>
        <w:tblW w:type="auto" w:w="0"/>
        <w:jc w:val="center"/>
        <w:tblLook w:firstColumn="1" w:firstRow="1" w:lastColumn="0" w:lastRow="0" w:noHBand="0" w:noVBand="1" w:val="04A0"/>
      </w:tblPr>
      <w:tblGrid>
        <w:gridCol w:w="5083"/>
        <w:gridCol w:w="5083"/>
      </w:tblGrid>
      <w:tr>
        <w:tc>
          <w:tcPr>
            <w:tcW w:type="dxa" w:w="2880"/>
            <w:shd w:fill="2D175E"/>
            <w:vAlign w:val="center"/>
            <w:tcMar>
              <w:top w:w="80" w:type="dxa"/>
              <w:start w:w="80" w:type="dxa"/>
              <w:bottom w:w="80" w:type="dxa"/>
              <w:end w:w="80" w:type="dxa"/>
            </w:tcMar>
          </w:tcPr>
          <w:p>
            <w:pPr>
              <w:spacing w:after="0"/>
            </w:pPr>
            <w:r>
              <w:rPr>
                <w:rFonts w:ascii="Aptos" w:hAnsi="Aptos"/>
              </w:rPr>
            </w:r>
            <w:r>
              <w:rPr>
                <w:rFonts w:ascii="Aptos" w:hAnsi="Aptos"/>
                <w:b/>
                <w:color w:val="FFFFFF"/>
                <w:sz w:val="17"/>
              </w:rPr>
              <w:t>Field</w:t>
            </w:r>
          </w:p>
        </w:tc>
        <w:tc>
          <w:tcPr>
            <w:tcW w:type="dxa" w:w="7200"/>
            <w:shd w:fill="2D175E"/>
            <w:vAlign w:val="center"/>
            <w:tcMar>
              <w:top w:w="80" w:type="dxa"/>
              <w:start w:w="80" w:type="dxa"/>
              <w:bottom w:w="80" w:type="dxa"/>
              <w:end w:w="80" w:type="dxa"/>
            </w:tcMar>
          </w:tcPr>
          <w:p>
            <w:pPr>
              <w:spacing w:after="0"/>
            </w:pPr>
            <w:r>
              <w:rPr>
                <w:rFonts w:ascii="Aptos" w:hAnsi="Aptos"/>
              </w:rPr>
            </w:r>
            <w:r>
              <w:rPr>
                <w:rFonts w:ascii="Aptos" w:hAnsi="Aptos"/>
                <w:b/>
                <w:color w:val="FFFFFF"/>
                <w:sz w:val="17"/>
              </w:rPr>
              <w:t>Value</w:t>
            </w:r>
          </w:p>
        </w:tc>
      </w:tr>
      <w:tr>
        <w:tc>
          <w:tcPr>
            <w:tcW w:type="dxa" w:w="2880"/>
            <w:tcMar>
              <w:top w:w="80" w:type="dxa"/>
              <w:start w:w="80" w:type="dxa"/>
              <w:bottom w:w="80" w:type="dxa"/>
              <w:end w:w="80" w:type="dxa"/>
            </w:tcMar>
            <w:vAlign w:val="top"/>
          </w:tcPr>
          <w:p>
            <w:pPr>
              <w:spacing w:after="0"/>
            </w:pPr>
            <w:r>
              <w:rPr>
                <w:rFonts w:ascii="Aptos" w:hAnsi="Aptos"/>
              </w:rPr>
            </w:r>
            <w:r>
              <w:rPr>
                <w:rFonts w:ascii="Aptos" w:hAnsi="Aptos"/>
                <w:b w:val="0"/>
                <w:sz w:val="16"/>
              </w:rPr>
              <w:t>Token name / symbol</w:t>
            </w:r>
          </w:p>
        </w:tc>
        <w:tc>
          <w:tcPr>
            <w:tcW w:type="dxa" w:w="7200"/>
            <w:tcMar>
              <w:top w:w="80" w:type="dxa"/>
              <w:start w:w="80" w:type="dxa"/>
              <w:bottom w:w="80" w:type="dxa"/>
              <w:end w:w="80" w:type="dxa"/>
            </w:tcMar>
            <w:vAlign w:val="top"/>
          </w:tcPr>
          <w:p>
            <w:pPr>
              <w:spacing w:after="0"/>
            </w:pPr>
            <w:r>
              <w:rPr>
                <w:rFonts w:ascii="Aptos" w:hAnsi="Aptos"/>
              </w:rPr>
            </w:r>
            <w:r>
              <w:rPr>
                <w:rFonts w:ascii="Aptos" w:hAnsi="Aptos"/>
                <w:b w:val="0"/>
                <w:sz w:val="16"/>
              </w:rPr>
              <w:t>SpacelonX / SLX</w:t>
            </w:r>
          </w:p>
        </w:tc>
      </w:tr>
      <w:tr>
        <w:tc>
          <w:tcPr>
            <w:tcW w:type="dxa" w:w="2880"/>
            <w:tcMar>
              <w:top w:w="80" w:type="dxa"/>
              <w:start w:w="80" w:type="dxa"/>
              <w:bottom w:w="80" w:type="dxa"/>
              <w:end w:w="80" w:type="dxa"/>
            </w:tcMar>
            <w:vAlign w:val="top"/>
          </w:tcPr>
          <w:p>
            <w:pPr>
              <w:spacing w:after="0"/>
            </w:pPr>
            <w:r>
              <w:rPr>
                <w:rFonts w:ascii="Aptos" w:hAnsi="Aptos"/>
              </w:rPr>
            </w:r>
            <w:r>
              <w:rPr>
                <w:rFonts w:ascii="Aptos" w:hAnsi="Aptos"/>
                <w:b w:val="0"/>
                <w:sz w:val="16"/>
              </w:rPr>
              <w:t>Network reviewed</w:t>
            </w:r>
          </w:p>
        </w:tc>
        <w:tc>
          <w:tcPr>
            <w:tcW w:type="dxa" w:w="7200"/>
            <w:tcMar>
              <w:top w:w="80" w:type="dxa"/>
              <w:start w:w="80" w:type="dxa"/>
              <w:bottom w:w="80" w:type="dxa"/>
              <w:end w:w="80" w:type="dxa"/>
            </w:tcMar>
            <w:vAlign w:val="top"/>
          </w:tcPr>
          <w:p>
            <w:pPr>
              <w:spacing w:after="0"/>
            </w:pPr>
            <w:r>
              <w:rPr>
                <w:rFonts w:ascii="Aptos" w:hAnsi="Aptos"/>
              </w:rPr>
            </w:r>
            <w:r>
              <w:rPr>
                <w:rFonts w:ascii="Aptos" w:hAnsi="Aptos"/>
                <w:b w:val="0"/>
                <w:sz w:val="16"/>
              </w:rPr>
              <w:t>Polygon Amoy testnet</w:t>
            </w:r>
          </w:p>
        </w:tc>
      </w:tr>
      <w:tr>
        <w:tc>
          <w:tcPr>
            <w:tcW w:type="dxa" w:w="2880"/>
            <w:tcMar>
              <w:top w:w="80" w:type="dxa"/>
              <w:start w:w="80" w:type="dxa"/>
              <w:bottom w:w="80" w:type="dxa"/>
              <w:end w:w="80" w:type="dxa"/>
            </w:tcMar>
            <w:vAlign w:val="top"/>
          </w:tcPr>
          <w:p>
            <w:pPr>
              <w:spacing w:after="0"/>
            </w:pPr>
            <w:r>
              <w:rPr>
                <w:rFonts w:ascii="Aptos" w:hAnsi="Aptos"/>
              </w:rPr>
            </w:r>
            <w:r>
              <w:rPr>
                <w:rFonts w:ascii="Aptos" w:hAnsi="Aptos"/>
                <w:b w:val="0"/>
                <w:sz w:val="16"/>
              </w:rPr>
              <w:t>Contract address</w:t>
            </w:r>
          </w:p>
        </w:tc>
        <w:tc>
          <w:tcPr>
            <w:tcW w:type="dxa" w:w="7200"/>
            <w:tcMar>
              <w:top w:w="80" w:type="dxa"/>
              <w:start w:w="80" w:type="dxa"/>
              <w:bottom w:w="80" w:type="dxa"/>
              <w:end w:w="80" w:type="dxa"/>
            </w:tcMar>
            <w:vAlign w:val="top"/>
          </w:tcPr>
          <w:p>
            <w:pPr>
              <w:spacing w:after="0"/>
            </w:pPr>
            <w:r>
              <w:rPr>
                <w:rFonts w:ascii="Aptos" w:hAnsi="Aptos"/>
              </w:rPr>
            </w:r>
            <w:r>
              <w:rPr>
                <w:rFonts w:ascii="Aptos" w:hAnsi="Aptos"/>
                <w:b w:val="0"/>
                <w:sz w:val="16"/>
              </w:rPr>
              <w:t>0xDBF17Cc980Ae4f7db5119e8C9c3E2AD53023aC9E</w:t>
            </w:r>
          </w:p>
        </w:tc>
      </w:tr>
      <w:tr>
        <w:tc>
          <w:tcPr>
            <w:tcW w:type="dxa" w:w="2880"/>
            <w:tcMar>
              <w:top w:w="80" w:type="dxa"/>
              <w:start w:w="80" w:type="dxa"/>
              <w:bottom w:w="80" w:type="dxa"/>
              <w:end w:w="80" w:type="dxa"/>
            </w:tcMar>
            <w:vAlign w:val="top"/>
          </w:tcPr>
          <w:p>
            <w:pPr>
              <w:spacing w:after="0"/>
            </w:pPr>
            <w:r>
              <w:rPr>
                <w:rFonts w:ascii="Aptos" w:hAnsi="Aptos"/>
              </w:rPr>
            </w:r>
            <w:r>
              <w:rPr>
                <w:rFonts w:ascii="Aptos" w:hAnsi="Aptos"/>
                <w:b w:val="0"/>
                <w:sz w:val="16"/>
              </w:rPr>
              <w:t>Solidity / compiler</w:t>
            </w:r>
          </w:p>
        </w:tc>
        <w:tc>
          <w:tcPr>
            <w:tcW w:type="dxa" w:w="7200"/>
            <w:tcMar>
              <w:top w:w="80" w:type="dxa"/>
              <w:start w:w="80" w:type="dxa"/>
              <w:bottom w:w="80" w:type="dxa"/>
              <w:end w:w="80" w:type="dxa"/>
            </w:tcMar>
            <w:vAlign w:val="top"/>
          </w:tcPr>
          <w:p>
            <w:pPr>
              <w:spacing w:after="0"/>
            </w:pPr>
            <w:r>
              <w:rPr>
                <w:rFonts w:ascii="Aptos" w:hAnsi="Aptos"/>
              </w:rPr>
            </w:r>
            <w:r>
              <w:rPr>
                <w:rFonts w:ascii="Aptos" w:hAnsi="Aptos"/>
                <w:b w:val="0"/>
                <w:sz w:val="16"/>
              </w:rPr>
              <w:t>^0.8.20, compiled with 0.8.34</w:t>
            </w:r>
          </w:p>
        </w:tc>
      </w:tr>
      <w:tr>
        <w:tc>
          <w:tcPr>
            <w:tcW w:type="dxa" w:w="2880"/>
            <w:tcMar>
              <w:top w:w="80" w:type="dxa"/>
              <w:start w:w="80" w:type="dxa"/>
              <w:bottom w:w="80" w:type="dxa"/>
              <w:end w:w="80" w:type="dxa"/>
            </w:tcMar>
            <w:vAlign w:val="top"/>
          </w:tcPr>
          <w:p>
            <w:pPr>
              <w:spacing w:after="0"/>
            </w:pPr>
            <w:r>
              <w:rPr>
                <w:rFonts w:ascii="Aptos" w:hAnsi="Aptos"/>
              </w:rPr>
            </w:r>
            <w:r>
              <w:rPr>
                <w:rFonts w:ascii="Aptos" w:hAnsi="Aptos"/>
                <w:b w:val="0"/>
                <w:sz w:val="16"/>
              </w:rPr>
              <w:t>Libraries declared</w:t>
            </w:r>
          </w:p>
        </w:tc>
        <w:tc>
          <w:tcPr>
            <w:tcW w:type="dxa" w:w="7200"/>
            <w:tcMar>
              <w:top w:w="80" w:type="dxa"/>
              <w:start w:w="80" w:type="dxa"/>
              <w:bottom w:w="80" w:type="dxa"/>
              <w:end w:w="80" w:type="dxa"/>
            </w:tcMar>
            <w:vAlign w:val="top"/>
          </w:tcPr>
          <w:p>
            <w:pPr>
              <w:spacing w:after="0"/>
            </w:pPr>
            <w:r>
              <w:rPr>
                <w:rFonts w:ascii="Aptos" w:hAnsi="Aptos"/>
              </w:rPr>
            </w:r>
            <w:r>
              <w:rPr>
                <w:rFonts w:ascii="Aptos" w:hAnsi="Aptos"/>
                <w:b w:val="0"/>
                <w:sz w:val="16"/>
              </w:rPr>
              <w:t>OpenZeppelin Contracts v5.x</w:t>
            </w:r>
          </w:p>
        </w:tc>
      </w:tr>
      <w:tr>
        <w:tc>
          <w:tcPr>
            <w:tcW w:type="dxa" w:w="2880"/>
            <w:tcMar>
              <w:top w:w="80" w:type="dxa"/>
              <w:start w:w="80" w:type="dxa"/>
              <w:bottom w:w="80" w:type="dxa"/>
              <w:end w:w="80" w:type="dxa"/>
            </w:tcMar>
            <w:vAlign w:val="top"/>
          </w:tcPr>
          <w:p>
            <w:pPr>
              <w:spacing w:after="0"/>
            </w:pPr>
            <w:r>
              <w:rPr>
                <w:rFonts w:ascii="Aptos" w:hAnsi="Aptos"/>
              </w:rPr>
            </w:r>
            <w:r>
              <w:rPr>
                <w:rFonts w:ascii="Aptos" w:hAnsi="Aptos"/>
                <w:b w:val="0"/>
                <w:sz w:val="16"/>
              </w:rPr>
              <w:t>Token supply</w:t>
            </w:r>
          </w:p>
        </w:tc>
        <w:tc>
          <w:tcPr>
            <w:tcW w:type="dxa" w:w="7200"/>
            <w:tcMar>
              <w:top w:w="80" w:type="dxa"/>
              <w:start w:w="80" w:type="dxa"/>
              <w:bottom w:w="80" w:type="dxa"/>
              <w:end w:w="80" w:type="dxa"/>
            </w:tcMar>
            <w:vAlign w:val="top"/>
          </w:tcPr>
          <w:p>
            <w:pPr>
              <w:spacing w:after="0"/>
            </w:pPr>
            <w:r>
              <w:rPr>
                <w:rFonts w:ascii="Aptos" w:hAnsi="Aptos"/>
              </w:rPr>
            </w:r>
            <w:r>
              <w:rPr>
                <w:rFonts w:ascii="Aptos" w:hAnsi="Aptos"/>
                <w:b w:val="0"/>
                <w:sz w:val="16"/>
              </w:rPr>
              <w:t>10,000,000,000 SLX, fixed supply, 18 decimals</w:t>
            </w:r>
          </w:p>
        </w:tc>
      </w:tr>
      <w:tr>
        <w:tc>
          <w:tcPr>
            <w:tcW w:type="dxa" w:w="2880"/>
            <w:tcMar>
              <w:top w:w="80" w:type="dxa"/>
              <w:start w:w="80" w:type="dxa"/>
              <w:bottom w:w="80" w:type="dxa"/>
              <w:end w:w="80" w:type="dxa"/>
            </w:tcMar>
            <w:vAlign w:val="top"/>
          </w:tcPr>
          <w:p>
            <w:pPr>
              <w:spacing w:after="0"/>
            </w:pPr>
            <w:r>
              <w:rPr>
                <w:rFonts w:ascii="Aptos" w:hAnsi="Aptos"/>
              </w:rPr>
            </w:r>
            <w:r>
              <w:rPr>
                <w:rFonts w:ascii="Aptos" w:hAnsi="Aptos"/>
                <w:b w:val="0"/>
                <w:sz w:val="16"/>
              </w:rPr>
              <w:t>Contract repository</w:t>
            </w:r>
          </w:p>
        </w:tc>
        <w:tc>
          <w:tcPr>
            <w:tcW w:type="dxa" w:w="7200"/>
            <w:tcMar>
              <w:top w:w="80" w:type="dxa"/>
              <w:start w:w="80" w:type="dxa"/>
              <w:bottom w:w="80" w:type="dxa"/>
              <w:end w:w="80" w:type="dxa"/>
            </w:tcMar>
            <w:vAlign w:val="top"/>
          </w:tcPr>
          <w:p>
            <w:pPr>
              <w:spacing w:after="0"/>
            </w:pPr>
            <w:r>
              <w:rPr>
                <w:rFonts w:ascii="Aptos" w:hAnsi="Aptos"/>
              </w:rPr>
            </w:r>
            <w:r>
              <w:rPr>
                <w:rFonts w:ascii="Aptos" w:hAnsi="Aptos"/>
                <w:b w:val="0"/>
                <w:sz w:val="16"/>
              </w:rPr>
              <w:t>https://github.com/silversurfer239/spacelonx-contract</w:t>
            </w:r>
          </w:p>
        </w:tc>
      </w:tr>
      <w:tr>
        <w:tc>
          <w:tcPr>
            <w:tcW w:type="dxa" w:w="2880"/>
            <w:tcMar>
              <w:top w:w="80" w:type="dxa"/>
              <w:start w:w="80" w:type="dxa"/>
              <w:bottom w:w="80" w:type="dxa"/>
              <w:end w:w="80" w:type="dxa"/>
            </w:tcMar>
            <w:vAlign w:val="top"/>
          </w:tcPr>
          <w:p>
            <w:pPr>
              <w:spacing w:after="0"/>
            </w:pPr>
            <w:r>
              <w:rPr>
                <w:rFonts w:ascii="Aptos" w:hAnsi="Aptos"/>
              </w:rPr>
            </w:r>
            <w:r>
              <w:rPr>
                <w:rFonts w:ascii="Aptos" w:hAnsi="Aptos"/>
                <w:b w:val="0"/>
                <w:sz w:val="16"/>
              </w:rPr>
              <w:t>Explorer reference</w:t>
            </w:r>
          </w:p>
        </w:tc>
        <w:tc>
          <w:tcPr>
            <w:tcW w:type="dxa" w:w="7200"/>
            <w:tcMar>
              <w:top w:w="80" w:type="dxa"/>
              <w:start w:w="80" w:type="dxa"/>
              <w:bottom w:w="80" w:type="dxa"/>
              <w:end w:w="80" w:type="dxa"/>
            </w:tcMar>
            <w:vAlign w:val="top"/>
          </w:tcPr>
          <w:p>
            <w:pPr>
              <w:spacing w:after="0"/>
            </w:pPr>
            <w:r>
              <w:rPr>
                <w:rFonts w:ascii="Aptos" w:hAnsi="Aptos"/>
              </w:rPr>
            </w:r>
            <w:r>
              <w:rPr>
                <w:rFonts w:ascii="Aptos" w:hAnsi="Aptos"/>
                <w:b w:val="0"/>
                <w:sz w:val="16"/>
              </w:rPr>
              <w:t>https://amoy.polygonscan.com/address/0xDBF17Cc980Ae4f7db5119e8C9c3E2AD53023aC9E</w:t>
            </w:r>
          </w:p>
        </w:tc>
      </w:tr>
    </w:tbl>
    <w:p>
      <w:pPr>
        <w:pStyle w:val="Heading1"/>
      </w:pPr>
      <w:r>
        <w:rPr>
          <w:rFonts w:ascii="Aptos Display" w:hAnsi="Aptos Display"/>
          <w:color w:val="402A82"/>
        </w:rPr>
        <w:t>Executive Summary</w:t>
      </w:r>
    </w:p>
    <w:p>
      <w:r>
        <w:t>SpacelonX (SLX) is documented as an ERC-20 community / parody token using OpenZeppelin v5 components, with a fixed supply of 10,000,000,000 SLX, burn functionality, configurable buy/sell taxes, and vesting allocations. The current deployment reviewed is on Polygon Amoy testnet, not mainnet.</w:t>
      </w:r>
    </w:p>
    <w:p>
      <w:r>
        <w:t>From a security perspective, the documented architecture is consistent with a conventional ERC-20 memecoin pattern: fixed supply, no post-deploy minting, capped tax parameters and vesting schedules. The highest risk area is not an identified exploitable bug in the reviewed material; it is the absence of full reproducible source-code and test evidence in the public GitHub repository during this preparation phase.</w:t>
      </w:r>
    </w:p>
    <w:p>
      <w:r>
        <w:t>The project should not be launched on mainnet without a complete source-level audit, unit/invariant tests, deployment reproducibility, exact constructor parameter verification, multisig ownership controls and a public incident-response plan.</w:t>
      </w:r>
    </w:p>
    <w:p>
      <w:pPr>
        <w:pStyle w:val="Heading1"/>
      </w:pPr>
      <w:r>
        <w:rPr>
          <w:rFonts w:ascii="Aptos Display" w:hAnsi="Aptos Display"/>
          <w:color w:val="402A82"/>
        </w:rPr>
        <w:t>Findings Summary</w:t>
      </w:r>
    </w:p>
    <w:tbl>
      <w:tblPr>
        <w:tblStyle w:val="TableGrid"/>
        <w:tblW w:type="auto" w:w="0"/>
        <w:jc w:val="center"/>
        <w:tblLook w:firstColumn="1" w:firstRow="1" w:lastColumn="0" w:lastRow="0" w:noHBand="0" w:noVBand="1" w:val="04A0"/>
      </w:tblPr>
      <w:tblGrid>
        <w:gridCol w:w="5083"/>
        <w:gridCol w:w="5083"/>
      </w:tblGrid>
      <w:tr>
        <w:tc>
          <w:tcPr>
            <w:tcW w:type="dxa" w:w="3600"/>
            <w:shd w:fill="2D175E"/>
            <w:vAlign w:val="center"/>
            <w:tcMar>
              <w:top w:w="80" w:type="dxa"/>
              <w:start w:w="80" w:type="dxa"/>
              <w:bottom w:w="80" w:type="dxa"/>
              <w:end w:w="80" w:type="dxa"/>
            </w:tcMar>
          </w:tcPr>
          <w:p>
            <w:pPr>
              <w:spacing w:after="0"/>
            </w:pPr>
            <w:r>
              <w:rPr>
                <w:rFonts w:ascii="Aptos" w:hAnsi="Aptos"/>
              </w:rPr>
            </w:r>
            <w:r>
              <w:rPr>
                <w:rFonts w:ascii="Aptos" w:hAnsi="Aptos"/>
                <w:b/>
                <w:color w:val="FFFFFF"/>
                <w:sz w:val="17"/>
              </w:rPr>
              <w:t>Severity</w:t>
            </w:r>
          </w:p>
        </w:tc>
        <w:tc>
          <w:tcPr>
            <w:tcW w:type="dxa" w:w="2160"/>
            <w:shd w:fill="2D175E"/>
            <w:vAlign w:val="center"/>
            <w:tcMar>
              <w:top w:w="80" w:type="dxa"/>
              <w:start w:w="80" w:type="dxa"/>
              <w:bottom w:w="80" w:type="dxa"/>
              <w:end w:w="80" w:type="dxa"/>
            </w:tcMar>
          </w:tcPr>
          <w:p>
            <w:pPr>
              <w:spacing w:after="0"/>
            </w:pPr>
            <w:r>
              <w:rPr>
                <w:rFonts w:ascii="Aptos" w:hAnsi="Aptos"/>
              </w:rPr>
            </w:r>
            <w:r>
              <w:rPr>
                <w:rFonts w:ascii="Aptos" w:hAnsi="Aptos"/>
                <w:b/>
                <w:color w:val="FFFFFF"/>
                <w:sz w:val="17"/>
              </w:rPr>
              <w:t>Count</w:t>
            </w:r>
          </w:p>
        </w:tc>
      </w:tr>
      <w:tr>
        <w:tc>
          <w:tcPr>
            <w:tcW w:type="dxa" w:w="3600"/>
            <w:tcMar>
              <w:top w:w="80" w:type="dxa"/>
              <w:start w:w="80" w:type="dxa"/>
              <w:bottom w:w="80" w:type="dxa"/>
              <w:end w:w="80" w:type="dxa"/>
            </w:tcMar>
            <w:vAlign w:val="top"/>
          </w:tcPr>
          <w:p>
            <w:pPr>
              <w:spacing w:after="0"/>
            </w:pPr>
            <w:r>
              <w:rPr>
                <w:rFonts w:ascii="Aptos" w:hAnsi="Aptos"/>
              </w:rPr>
            </w:r>
            <w:r>
              <w:rPr>
                <w:rFonts w:ascii="Aptos" w:hAnsi="Aptos"/>
                <w:b w:val="0"/>
                <w:sz w:val="16"/>
              </w:rPr>
              <w:t>Critical</w:t>
            </w:r>
          </w:p>
        </w:tc>
        <w:tc>
          <w:tcPr>
            <w:tcW w:type="dxa" w:w="2160"/>
            <w:tcMar>
              <w:top w:w="80" w:type="dxa"/>
              <w:start w:w="80" w:type="dxa"/>
              <w:bottom w:w="80" w:type="dxa"/>
              <w:end w:w="80" w:type="dxa"/>
            </w:tcMar>
            <w:vAlign w:val="top"/>
          </w:tcPr>
          <w:p>
            <w:pPr>
              <w:spacing w:after="0"/>
            </w:pPr>
            <w:r>
              <w:rPr>
                <w:rFonts w:ascii="Aptos" w:hAnsi="Aptos"/>
              </w:rPr>
            </w:r>
            <w:r>
              <w:rPr>
                <w:rFonts w:ascii="Aptos" w:hAnsi="Aptos"/>
                <w:b w:val="0"/>
                <w:sz w:val="16"/>
              </w:rPr>
              <w:t>0</w:t>
            </w:r>
          </w:p>
        </w:tc>
      </w:tr>
      <w:tr>
        <w:tc>
          <w:tcPr>
            <w:tcW w:type="dxa" w:w="3600"/>
            <w:tcMar>
              <w:top w:w="80" w:type="dxa"/>
              <w:start w:w="80" w:type="dxa"/>
              <w:bottom w:w="80" w:type="dxa"/>
              <w:end w:w="80" w:type="dxa"/>
            </w:tcMar>
            <w:vAlign w:val="top"/>
          </w:tcPr>
          <w:p>
            <w:pPr>
              <w:spacing w:after="0"/>
            </w:pPr>
            <w:r>
              <w:rPr>
                <w:rFonts w:ascii="Aptos" w:hAnsi="Aptos"/>
              </w:rPr>
            </w:r>
            <w:r>
              <w:rPr>
                <w:rFonts w:ascii="Aptos" w:hAnsi="Aptos"/>
                <w:b w:val="0"/>
                <w:sz w:val="16"/>
              </w:rPr>
              <w:t>High</w:t>
            </w:r>
          </w:p>
        </w:tc>
        <w:tc>
          <w:tcPr>
            <w:tcW w:type="dxa" w:w="2160"/>
            <w:tcMar>
              <w:top w:w="80" w:type="dxa"/>
              <w:start w:w="80" w:type="dxa"/>
              <w:bottom w:w="80" w:type="dxa"/>
              <w:end w:w="80" w:type="dxa"/>
            </w:tcMar>
            <w:vAlign w:val="top"/>
          </w:tcPr>
          <w:p>
            <w:pPr>
              <w:spacing w:after="0"/>
            </w:pPr>
            <w:r>
              <w:rPr>
                <w:rFonts w:ascii="Aptos" w:hAnsi="Aptos"/>
              </w:rPr>
            </w:r>
            <w:r>
              <w:rPr>
                <w:rFonts w:ascii="Aptos" w:hAnsi="Aptos"/>
                <w:b w:val="0"/>
                <w:sz w:val="16"/>
              </w:rPr>
              <w:t>1</w:t>
            </w:r>
          </w:p>
        </w:tc>
      </w:tr>
      <w:tr>
        <w:tc>
          <w:tcPr>
            <w:tcW w:type="dxa" w:w="3600"/>
            <w:tcMar>
              <w:top w:w="80" w:type="dxa"/>
              <w:start w:w="80" w:type="dxa"/>
              <w:bottom w:w="80" w:type="dxa"/>
              <w:end w:w="80" w:type="dxa"/>
            </w:tcMar>
            <w:vAlign w:val="top"/>
          </w:tcPr>
          <w:p>
            <w:pPr>
              <w:spacing w:after="0"/>
            </w:pPr>
            <w:r>
              <w:rPr>
                <w:rFonts w:ascii="Aptos" w:hAnsi="Aptos"/>
              </w:rPr>
            </w:r>
            <w:r>
              <w:rPr>
                <w:rFonts w:ascii="Aptos" w:hAnsi="Aptos"/>
                <w:b w:val="0"/>
                <w:sz w:val="16"/>
              </w:rPr>
              <w:t>Medium</w:t>
            </w:r>
          </w:p>
        </w:tc>
        <w:tc>
          <w:tcPr>
            <w:tcW w:type="dxa" w:w="2160"/>
            <w:tcMar>
              <w:top w:w="80" w:type="dxa"/>
              <w:start w:w="80" w:type="dxa"/>
              <w:bottom w:w="80" w:type="dxa"/>
              <w:end w:w="80" w:type="dxa"/>
            </w:tcMar>
            <w:vAlign w:val="top"/>
          </w:tcPr>
          <w:p>
            <w:pPr>
              <w:spacing w:after="0"/>
            </w:pPr>
            <w:r>
              <w:rPr>
                <w:rFonts w:ascii="Aptos" w:hAnsi="Aptos"/>
              </w:rPr>
            </w:r>
            <w:r>
              <w:rPr>
                <w:rFonts w:ascii="Aptos" w:hAnsi="Aptos"/>
                <w:b w:val="0"/>
                <w:sz w:val="16"/>
              </w:rPr>
              <w:t>3</w:t>
            </w:r>
          </w:p>
        </w:tc>
      </w:tr>
      <w:tr>
        <w:tc>
          <w:tcPr>
            <w:tcW w:type="dxa" w:w="3600"/>
            <w:tcMar>
              <w:top w:w="80" w:type="dxa"/>
              <w:start w:w="80" w:type="dxa"/>
              <w:bottom w:w="80" w:type="dxa"/>
              <w:end w:w="80" w:type="dxa"/>
            </w:tcMar>
            <w:vAlign w:val="top"/>
          </w:tcPr>
          <w:p>
            <w:pPr>
              <w:spacing w:after="0"/>
            </w:pPr>
            <w:r>
              <w:rPr>
                <w:rFonts w:ascii="Aptos" w:hAnsi="Aptos"/>
              </w:rPr>
            </w:r>
            <w:r>
              <w:rPr>
                <w:rFonts w:ascii="Aptos" w:hAnsi="Aptos"/>
                <w:b w:val="0"/>
                <w:sz w:val="16"/>
              </w:rPr>
              <w:t>Low</w:t>
            </w:r>
          </w:p>
        </w:tc>
        <w:tc>
          <w:tcPr>
            <w:tcW w:type="dxa" w:w="2160"/>
            <w:tcMar>
              <w:top w:w="80" w:type="dxa"/>
              <w:start w:w="80" w:type="dxa"/>
              <w:bottom w:w="80" w:type="dxa"/>
              <w:end w:w="80" w:type="dxa"/>
            </w:tcMar>
            <w:vAlign w:val="top"/>
          </w:tcPr>
          <w:p>
            <w:pPr>
              <w:spacing w:after="0"/>
            </w:pPr>
            <w:r>
              <w:rPr>
                <w:rFonts w:ascii="Aptos" w:hAnsi="Aptos"/>
              </w:rPr>
            </w:r>
            <w:r>
              <w:rPr>
                <w:rFonts w:ascii="Aptos" w:hAnsi="Aptos"/>
                <w:b w:val="0"/>
                <w:sz w:val="16"/>
              </w:rPr>
              <w:t>1</w:t>
            </w:r>
          </w:p>
        </w:tc>
      </w:tr>
      <w:tr>
        <w:tc>
          <w:tcPr>
            <w:tcW w:type="dxa" w:w="3600"/>
            <w:tcMar>
              <w:top w:w="80" w:type="dxa"/>
              <w:start w:w="80" w:type="dxa"/>
              <w:bottom w:w="80" w:type="dxa"/>
              <w:end w:w="80" w:type="dxa"/>
            </w:tcMar>
            <w:vAlign w:val="top"/>
          </w:tcPr>
          <w:p>
            <w:pPr>
              <w:spacing w:after="0"/>
            </w:pPr>
            <w:r>
              <w:rPr>
                <w:rFonts w:ascii="Aptos" w:hAnsi="Aptos"/>
              </w:rPr>
            </w:r>
            <w:r>
              <w:rPr>
                <w:rFonts w:ascii="Aptos" w:hAnsi="Aptos"/>
                <w:b w:val="0"/>
                <w:sz w:val="16"/>
              </w:rPr>
              <w:t>Informational</w:t>
            </w:r>
          </w:p>
        </w:tc>
        <w:tc>
          <w:tcPr>
            <w:tcW w:type="dxa" w:w="2160"/>
            <w:tcMar>
              <w:top w:w="80" w:type="dxa"/>
              <w:start w:w="80" w:type="dxa"/>
              <w:bottom w:w="80" w:type="dxa"/>
              <w:end w:w="80" w:type="dxa"/>
            </w:tcMar>
            <w:vAlign w:val="top"/>
          </w:tcPr>
          <w:p>
            <w:pPr>
              <w:spacing w:after="0"/>
            </w:pPr>
            <w:r>
              <w:rPr>
                <w:rFonts w:ascii="Aptos" w:hAnsi="Aptos"/>
              </w:rPr>
            </w:r>
            <w:r>
              <w:rPr>
                <w:rFonts w:ascii="Aptos" w:hAnsi="Aptos"/>
                <w:b w:val="0"/>
                <w:sz w:val="16"/>
              </w:rPr>
              <w:t>1</w:t>
            </w:r>
          </w:p>
        </w:tc>
      </w:tr>
    </w:tbl>
    <w:tbl>
      <w:tblPr>
        <w:tblStyle w:val="TableGrid"/>
        <w:tblW w:type="auto" w:w="0"/>
        <w:jc w:val="center"/>
        <w:tblLook w:firstColumn="1" w:firstRow="1" w:lastColumn="0" w:lastRow="0" w:noHBand="0" w:noVBand="1" w:val="04A0"/>
      </w:tblPr>
      <w:tblGrid>
        <w:gridCol w:w="2541"/>
        <w:gridCol w:w="2541"/>
        <w:gridCol w:w="2541"/>
        <w:gridCol w:w="2541"/>
      </w:tblGrid>
      <w:tr>
        <w:tc>
          <w:tcPr>
            <w:tcW w:type="dxa" w:w="1440"/>
            <w:shd w:fill="2D175E"/>
            <w:vAlign w:val="center"/>
            <w:tcMar>
              <w:top w:w="80" w:type="dxa"/>
              <w:start w:w="80" w:type="dxa"/>
              <w:bottom w:w="80" w:type="dxa"/>
              <w:end w:w="80" w:type="dxa"/>
            </w:tcMar>
          </w:tcPr>
          <w:p>
            <w:pPr>
              <w:spacing w:after="0"/>
            </w:pPr>
            <w:r>
              <w:rPr>
                <w:rFonts w:ascii="Aptos" w:hAnsi="Aptos"/>
              </w:rPr>
            </w:r>
            <w:r>
              <w:rPr>
                <w:rFonts w:ascii="Aptos" w:hAnsi="Aptos"/>
                <w:b/>
                <w:color w:val="FFFFFF"/>
                <w:sz w:val="17"/>
              </w:rPr>
              <w:t>ID</w:t>
            </w:r>
          </w:p>
        </w:tc>
        <w:tc>
          <w:tcPr>
            <w:tcW w:type="dxa" w:w="1440"/>
            <w:shd w:fill="2D175E"/>
            <w:vAlign w:val="center"/>
            <w:tcMar>
              <w:top w:w="80" w:type="dxa"/>
              <w:start w:w="80" w:type="dxa"/>
              <w:bottom w:w="80" w:type="dxa"/>
              <w:end w:w="80" w:type="dxa"/>
            </w:tcMar>
          </w:tcPr>
          <w:p>
            <w:pPr>
              <w:spacing w:after="0"/>
            </w:pPr>
            <w:r>
              <w:rPr>
                <w:rFonts w:ascii="Aptos" w:hAnsi="Aptos"/>
              </w:rPr>
            </w:r>
            <w:r>
              <w:rPr>
                <w:rFonts w:ascii="Aptos" w:hAnsi="Aptos"/>
                <w:b/>
                <w:color w:val="FFFFFF"/>
                <w:sz w:val="17"/>
              </w:rPr>
              <w:t>Severity</w:t>
            </w:r>
          </w:p>
        </w:tc>
        <w:tc>
          <w:tcPr>
            <w:tcW w:type="dxa" w:w="2016"/>
            <w:shd w:fill="2D175E"/>
            <w:vAlign w:val="center"/>
            <w:tcMar>
              <w:top w:w="80" w:type="dxa"/>
              <w:start w:w="80" w:type="dxa"/>
              <w:bottom w:w="80" w:type="dxa"/>
              <w:end w:w="80" w:type="dxa"/>
            </w:tcMar>
          </w:tcPr>
          <w:p>
            <w:pPr>
              <w:spacing w:after="0"/>
            </w:pPr>
            <w:r>
              <w:rPr>
                <w:rFonts w:ascii="Aptos" w:hAnsi="Aptos"/>
              </w:rPr>
            </w:r>
            <w:r>
              <w:rPr>
                <w:rFonts w:ascii="Aptos" w:hAnsi="Aptos"/>
                <w:b/>
                <w:color w:val="FFFFFF"/>
                <w:sz w:val="17"/>
              </w:rPr>
              <w:t>Status</w:t>
            </w:r>
          </w:p>
        </w:tc>
        <w:tc>
          <w:tcPr>
            <w:tcW w:type="dxa" w:w="6192"/>
            <w:shd w:fill="2D175E"/>
            <w:vAlign w:val="center"/>
            <w:tcMar>
              <w:top w:w="80" w:type="dxa"/>
              <w:start w:w="80" w:type="dxa"/>
              <w:bottom w:w="80" w:type="dxa"/>
              <w:end w:w="80" w:type="dxa"/>
            </w:tcMar>
          </w:tcPr>
          <w:p>
            <w:pPr>
              <w:spacing w:after="0"/>
            </w:pPr>
            <w:r>
              <w:rPr>
                <w:rFonts w:ascii="Aptos" w:hAnsi="Aptos"/>
              </w:rPr>
            </w:r>
            <w:r>
              <w:rPr>
                <w:rFonts w:ascii="Aptos" w:hAnsi="Aptos"/>
                <w:b/>
                <w:color w:val="FFFFFF"/>
                <w:sz w:val="17"/>
              </w:rPr>
              <w:t>Finding</w:t>
            </w:r>
          </w:p>
        </w:tc>
      </w:tr>
      <w:tr>
        <w:tc>
          <w:tcPr>
            <w:tcW w:type="dxa" w:w="1440"/>
            <w:tcMar>
              <w:top w:w="80" w:type="dxa"/>
              <w:start w:w="80" w:type="dxa"/>
              <w:bottom w:w="80" w:type="dxa"/>
              <w:end w:w="80" w:type="dxa"/>
            </w:tcMar>
            <w:vAlign w:val="top"/>
          </w:tcPr>
          <w:p>
            <w:pPr>
              <w:spacing w:after="0"/>
            </w:pPr>
            <w:r>
              <w:rPr>
                <w:rFonts w:ascii="Aptos" w:hAnsi="Aptos"/>
              </w:rPr>
            </w:r>
            <w:r>
              <w:rPr>
                <w:rFonts w:ascii="Aptos" w:hAnsi="Aptos"/>
                <w:b w:val="0"/>
                <w:sz w:val="16"/>
              </w:rPr>
              <w:t>SLX-AUD-01</w:t>
            </w:r>
          </w:p>
        </w:tc>
        <w:tc>
          <w:tcPr>
            <w:tcW w:type="dxa" w:w="1440"/>
            <w:tcMar>
              <w:top w:w="80" w:type="dxa"/>
              <w:start w:w="80" w:type="dxa"/>
              <w:bottom w:w="80" w:type="dxa"/>
              <w:end w:w="80" w:type="dxa"/>
            </w:tcMar>
            <w:vAlign w:val="top"/>
          </w:tcPr>
          <w:p>
            <w:pPr>
              <w:spacing w:after="0"/>
            </w:pPr>
            <w:r>
              <w:rPr>
                <w:rFonts w:ascii="Aptos" w:hAnsi="Aptos"/>
              </w:rPr>
            </w:r>
            <w:r>
              <w:rPr>
                <w:rFonts w:ascii="Aptos" w:hAnsi="Aptos"/>
                <w:b w:val="0"/>
                <w:sz w:val="16"/>
              </w:rPr>
              <w:t>High</w:t>
            </w:r>
          </w:p>
        </w:tc>
        <w:tc>
          <w:tcPr>
            <w:tcW w:type="dxa" w:w="2016"/>
            <w:tcMar>
              <w:top w:w="80" w:type="dxa"/>
              <w:start w:w="80" w:type="dxa"/>
              <w:bottom w:w="80" w:type="dxa"/>
              <w:end w:w="80" w:type="dxa"/>
            </w:tcMar>
            <w:vAlign w:val="top"/>
          </w:tcPr>
          <w:p>
            <w:pPr>
              <w:spacing w:after="0"/>
            </w:pPr>
            <w:r>
              <w:rPr>
                <w:rFonts w:ascii="Aptos" w:hAnsi="Aptos"/>
              </w:rPr>
            </w:r>
            <w:r>
              <w:rPr>
                <w:rFonts w:ascii="Aptos" w:hAnsi="Aptos"/>
                <w:b w:val="0"/>
                <w:sz w:val="16"/>
              </w:rPr>
              <w:t>Open</w:t>
            </w:r>
          </w:p>
        </w:tc>
        <w:tc>
          <w:tcPr>
            <w:tcW w:type="dxa" w:w="6192"/>
            <w:tcMar>
              <w:top w:w="80" w:type="dxa"/>
              <w:start w:w="80" w:type="dxa"/>
              <w:bottom w:w="80" w:type="dxa"/>
              <w:end w:w="80" w:type="dxa"/>
            </w:tcMar>
            <w:vAlign w:val="top"/>
          </w:tcPr>
          <w:p>
            <w:pPr>
              <w:spacing w:after="0"/>
            </w:pPr>
            <w:r>
              <w:rPr>
                <w:rFonts w:ascii="Aptos" w:hAnsi="Aptos"/>
              </w:rPr>
            </w:r>
            <w:r>
              <w:rPr>
                <w:rFonts w:ascii="Aptos" w:hAnsi="Aptos"/>
                <w:b w:val="0"/>
                <w:sz w:val="16"/>
              </w:rPr>
              <w:t>Final source-code audit and automated security tooling not yet evidenced in repository</w:t>
            </w:r>
          </w:p>
        </w:tc>
      </w:tr>
      <w:tr>
        <w:tc>
          <w:tcPr>
            <w:tcW w:type="dxa" w:w="1440"/>
            <w:tcMar>
              <w:top w:w="80" w:type="dxa"/>
              <w:start w:w="80" w:type="dxa"/>
              <w:bottom w:w="80" w:type="dxa"/>
              <w:end w:w="80" w:type="dxa"/>
            </w:tcMar>
            <w:vAlign w:val="top"/>
          </w:tcPr>
          <w:p>
            <w:pPr>
              <w:spacing w:after="0"/>
            </w:pPr>
            <w:r>
              <w:rPr>
                <w:rFonts w:ascii="Aptos" w:hAnsi="Aptos"/>
              </w:rPr>
            </w:r>
            <w:r>
              <w:rPr>
                <w:rFonts w:ascii="Aptos" w:hAnsi="Aptos"/>
                <w:b w:val="0"/>
                <w:sz w:val="16"/>
              </w:rPr>
              <w:t>SLX-AUD-02</w:t>
            </w:r>
          </w:p>
        </w:tc>
        <w:tc>
          <w:tcPr>
            <w:tcW w:type="dxa" w:w="1440"/>
            <w:tcMar>
              <w:top w:w="80" w:type="dxa"/>
              <w:start w:w="80" w:type="dxa"/>
              <w:bottom w:w="80" w:type="dxa"/>
              <w:end w:w="80" w:type="dxa"/>
            </w:tcMar>
            <w:vAlign w:val="top"/>
          </w:tcPr>
          <w:p>
            <w:pPr>
              <w:spacing w:after="0"/>
            </w:pPr>
            <w:r>
              <w:rPr>
                <w:rFonts w:ascii="Aptos" w:hAnsi="Aptos"/>
              </w:rPr>
            </w:r>
            <w:r>
              <w:rPr>
                <w:rFonts w:ascii="Aptos" w:hAnsi="Aptos"/>
                <w:b w:val="0"/>
                <w:sz w:val="16"/>
              </w:rPr>
              <w:t>Medium</w:t>
            </w:r>
          </w:p>
        </w:tc>
        <w:tc>
          <w:tcPr>
            <w:tcW w:type="dxa" w:w="2016"/>
            <w:tcMar>
              <w:top w:w="80" w:type="dxa"/>
              <w:start w:w="80" w:type="dxa"/>
              <w:bottom w:w="80" w:type="dxa"/>
              <w:end w:w="80" w:type="dxa"/>
            </w:tcMar>
            <w:vAlign w:val="top"/>
          </w:tcPr>
          <w:p>
            <w:pPr>
              <w:spacing w:after="0"/>
            </w:pPr>
            <w:r>
              <w:rPr>
                <w:rFonts w:ascii="Aptos" w:hAnsi="Aptos"/>
              </w:rPr>
            </w:r>
            <w:r>
              <w:rPr>
                <w:rFonts w:ascii="Aptos" w:hAnsi="Aptos"/>
                <w:b w:val="0"/>
                <w:sz w:val="16"/>
              </w:rPr>
              <w:t>Review Required</w:t>
            </w:r>
          </w:p>
        </w:tc>
        <w:tc>
          <w:tcPr>
            <w:tcW w:type="dxa" w:w="6192"/>
            <w:tcMar>
              <w:top w:w="80" w:type="dxa"/>
              <w:start w:w="80" w:type="dxa"/>
              <w:bottom w:w="80" w:type="dxa"/>
              <w:end w:w="80" w:type="dxa"/>
            </w:tcMar>
            <w:vAlign w:val="top"/>
          </w:tcPr>
          <w:p>
            <w:pPr>
              <w:spacing w:after="0"/>
            </w:pPr>
            <w:r>
              <w:rPr>
                <w:rFonts w:ascii="Aptos" w:hAnsi="Aptos"/>
              </w:rPr>
            </w:r>
            <w:r>
              <w:rPr>
                <w:rFonts w:ascii="Aptos" w:hAnsi="Aptos"/>
                <w:b w:val="0"/>
                <w:sz w:val="16"/>
              </w:rPr>
              <w:t>Owner-controlled tax configuration requires governance guardrails</w:t>
            </w:r>
          </w:p>
        </w:tc>
      </w:tr>
      <w:tr>
        <w:tc>
          <w:tcPr>
            <w:tcW w:type="dxa" w:w="1440"/>
            <w:tcMar>
              <w:top w:w="80" w:type="dxa"/>
              <w:start w:w="80" w:type="dxa"/>
              <w:bottom w:w="80" w:type="dxa"/>
              <w:end w:w="80" w:type="dxa"/>
            </w:tcMar>
            <w:vAlign w:val="top"/>
          </w:tcPr>
          <w:p>
            <w:pPr>
              <w:spacing w:after="0"/>
            </w:pPr>
            <w:r>
              <w:rPr>
                <w:rFonts w:ascii="Aptos" w:hAnsi="Aptos"/>
              </w:rPr>
            </w:r>
            <w:r>
              <w:rPr>
                <w:rFonts w:ascii="Aptos" w:hAnsi="Aptos"/>
                <w:b w:val="0"/>
                <w:sz w:val="16"/>
              </w:rPr>
              <w:t>SLX-AUD-03</w:t>
            </w:r>
          </w:p>
        </w:tc>
        <w:tc>
          <w:tcPr>
            <w:tcW w:type="dxa" w:w="1440"/>
            <w:tcMar>
              <w:top w:w="80" w:type="dxa"/>
              <w:start w:w="80" w:type="dxa"/>
              <w:bottom w:w="80" w:type="dxa"/>
              <w:end w:w="80" w:type="dxa"/>
            </w:tcMar>
            <w:vAlign w:val="top"/>
          </w:tcPr>
          <w:p>
            <w:pPr>
              <w:spacing w:after="0"/>
            </w:pPr>
            <w:r>
              <w:rPr>
                <w:rFonts w:ascii="Aptos" w:hAnsi="Aptos"/>
              </w:rPr>
            </w:r>
            <w:r>
              <w:rPr>
                <w:rFonts w:ascii="Aptos" w:hAnsi="Aptos"/>
                <w:b w:val="0"/>
                <w:sz w:val="16"/>
              </w:rPr>
              <w:t>Medium</w:t>
            </w:r>
          </w:p>
        </w:tc>
        <w:tc>
          <w:tcPr>
            <w:tcW w:type="dxa" w:w="2016"/>
            <w:tcMar>
              <w:top w:w="80" w:type="dxa"/>
              <w:start w:w="80" w:type="dxa"/>
              <w:bottom w:w="80" w:type="dxa"/>
              <w:end w:w="80" w:type="dxa"/>
            </w:tcMar>
            <w:vAlign w:val="top"/>
          </w:tcPr>
          <w:p>
            <w:pPr>
              <w:spacing w:after="0"/>
            </w:pPr>
            <w:r>
              <w:rPr>
                <w:rFonts w:ascii="Aptos" w:hAnsi="Aptos"/>
              </w:rPr>
            </w:r>
            <w:r>
              <w:rPr>
                <w:rFonts w:ascii="Aptos" w:hAnsi="Aptos"/>
                <w:b w:val="0"/>
                <w:sz w:val="16"/>
              </w:rPr>
              <w:t>Review Required</w:t>
            </w:r>
          </w:p>
        </w:tc>
        <w:tc>
          <w:tcPr>
            <w:tcW w:type="dxa" w:w="6192"/>
            <w:tcMar>
              <w:top w:w="80" w:type="dxa"/>
              <w:start w:w="80" w:type="dxa"/>
              <w:bottom w:w="80" w:type="dxa"/>
              <w:end w:w="80" w:type="dxa"/>
            </w:tcMar>
            <w:vAlign w:val="top"/>
          </w:tcPr>
          <w:p>
            <w:pPr>
              <w:spacing w:after="0"/>
            </w:pPr>
            <w:r>
              <w:rPr>
                <w:rFonts w:ascii="Aptos" w:hAnsi="Aptos"/>
              </w:rPr>
            </w:r>
            <w:r>
              <w:rPr>
                <w:rFonts w:ascii="Aptos" w:hAnsi="Aptos"/>
                <w:b w:val="0"/>
                <w:sz w:val="16"/>
              </w:rPr>
              <w:t>Revocable vesting allocations should be transparent and event-driven</w:t>
            </w:r>
          </w:p>
        </w:tc>
      </w:tr>
      <w:tr>
        <w:tc>
          <w:tcPr>
            <w:tcW w:type="dxa" w:w="1440"/>
            <w:tcMar>
              <w:top w:w="80" w:type="dxa"/>
              <w:start w:w="80" w:type="dxa"/>
              <w:bottom w:w="80" w:type="dxa"/>
              <w:end w:w="80" w:type="dxa"/>
            </w:tcMar>
            <w:vAlign w:val="top"/>
          </w:tcPr>
          <w:p>
            <w:pPr>
              <w:spacing w:after="0"/>
            </w:pPr>
            <w:r>
              <w:rPr>
                <w:rFonts w:ascii="Aptos" w:hAnsi="Aptos"/>
              </w:rPr>
            </w:r>
            <w:r>
              <w:rPr>
                <w:rFonts w:ascii="Aptos" w:hAnsi="Aptos"/>
                <w:b w:val="0"/>
                <w:sz w:val="16"/>
              </w:rPr>
              <w:t>SLX-AUD-04</w:t>
            </w:r>
          </w:p>
        </w:tc>
        <w:tc>
          <w:tcPr>
            <w:tcW w:type="dxa" w:w="1440"/>
            <w:tcMar>
              <w:top w:w="80" w:type="dxa"/>
              <w:start w:w="80" w:type="dxa"/>
              <w:bottom w:w="80" w:type="dxa"/>
              <w:end w:w="80" w:type="dxa"/>
            </w:tcMar>
            <w:vAlign w:val="top"/>
          </w:tcPr>
          <w:p>
            <w:pPr>
              <w:spacing w:after="0"/>
            </w:pPr>
            <w:r>
              <w:rPr>
                <w:rFonts w:ascii="Aptos" w:hAnsi="Aptos"/>
              </w:rPr>
            </w:r>
            <w:r>
              <w:rPr>
                <w:rFonts w:ascii="Aptos" w:hAnsi="Aptos"/>
                <w:b w:val="0"/>
                <w:sz w:val="16"/>
              </w:rPr>
              <w:t>Medium</w:t>
            </w:r>
          </w:p>
        </w:tc>
        <w:tc>
          <w:tcPr>
            <w:tcW w:type="dxa" w:w="2016"/>
            <w:tcMar>
              <w:top w:w="80" w:type="dxa"/>
              <w:start w:w="80" w:type="dxa"/>
              <w:bottom w:w="80" w:type="dxa"/>
              <w:end w:w="80" w:type="dxa"/>
            </w:tcMar>
            <w:vAlign w:val="top"/>
          </w:tcPr>
          <w:p>
            <w:pPr>
              <w:spacing w:after="0"/>
            </w:pPr>
            <w:r>
              <w:rPr>
                <w:rFonts w:ascii="Aptos" w:hAnsi="Aptos"/>
              </w:rPr>
            </w:r>
            <w:r>
              <w:rPr>
                <w:rFonts w:ascii="Aptos" w:hAnsi="Aptos"/>
                <w:b w:val="0"/>
                <w:sz w:val="16"/>
              </w:rPr>
              <w:t>Open</w:t>
            </w:r>
          </w:p>
        </w:tc>
        <w:tc>
          <w:tcPr>
            <w:tcW w:type="dxa" w:w="6192"/>
            <w:tcMar>
              <w:top w:w="80" w:type="dxa"/>
              <w:start w:w="80" w:type="dxa"/>
              <w:bottom w:w="80" w:type="dxa"/>
              <w:end w:w="80" w:type="dxa"/>
            </w:tcMar>
            <w:vAlign w:val="top"/>
          </w:tcPr>
          <w:p>
            <w:pPr>
              <w:spacing w:after="0"/>
            </w:pPr>
            <w:r>
              <w:rPr>
                <w:rFonts w:ascii="Aptos" w:hAnsi="Aptos"/>
              </w:rPr>
            </w:r>
            <w:r>
              <w:rPr>
                <w:rFonts w:ascii="Aptos" w:hAnsi="Aptos"/>
                <w:b w:val="0"/>
                <w:sz w:val="16"/>
              </w:rPr>
              <w:t>No public evidence of test coverage, invariant testing or deployment reproducibility</w:t>
            </w:r>
          </w:p>
        </w:tc>
      </w:tr>
      <w:tr>
        <w:tc>
          <w:tcPr>
            <w:tcW w:type="dxa" w:w="1440"/>
            <w:tcMar>
              <w:top w:w="80" w:type="dxa"/>
              <w:start w:w="80" w:type="dxa"/>
              <w:bottom w:w="80" w:type="dxa"/>
              <w:end w:w="80" w:type="dxa"/>
            </w:tcMar>
            <w:vAlign w:val="top"/>
          </w:tcPr>
          <w:p>
            <w:pPr>
              <w:spacing w:after="0"/>
            </w:pPr>
            <w:r>
              <w:rPr>
                <w:rFonts w:ascii="Aptos" w:hAnsi="Aptos"/>
              </w:rPr>
            </w:r>
            <w:r>
              <w:rPr>
                <w:rFonts w:ascii="Aptos" w:hAnsi="Aptos"/>
                <w:b w:val="0"/>
                <w:sz w:val="16"/>
              </w:rPr>
              <w:t>SLX-AUD-05</w:t>
            </w:r>
          </w:p>
        </w:tc>
        <w:tc>
          <w:tcPr>
            <w:tcW w:type="dxa" w:w="1440"/>
            <w:tcMar>
              <w:top w:w="80" w:type="dxa"/>
              <w:start w:w="80" w:type="dxa"/>
              <w:bottom w:w="80" w:type="dxa"/>
              <w:end w:w="80" w:type="dxa"/>
            </w:tcMar>
            <w:vAlign w:val="top"/>
          </w:tcPr>
          <w:p>
            <w:pPr>
              <w:spacing w:after="0"/>
            </w:pPr>
            <w:r>
              <w:rPr>
                <w:rFonts w:ascii="Aptos" w:hAnsi="Aptos"/>
              </w:rPr>
            </w:r>
            <w:r>
              <w:rPr>
                <w:rFonts w:ascii="Aptos" w:hAnsi="Aptos"/>
                <w:b w:val="0"/>
                <w:sz w:val="16"/>
              </w:rPr>
              <w:t>Low</w:t>
            </w:r>
          </w:p>
        </w:tc>
        <w:tc>
          <w:tcPr>
            <w:tcW w:type="dxa" w:w="2016"/>
            <w:tcMar>
              <w:top w:w="80" w:type="dxa"/>
              <w:start w:w="80" w:type="dxa"/>
              <w:bottom w:w="80" w:type="dxa"/>
              <w:end w:w="80" w:type="dxa"/>
            </w:tcMar>
            <w:vAlign w:val="top"/>
          </w:tcPr>
          <w:p>
            <w:pPr>
              <w:spacing w:after="0"/>
            </w:pPr>
            <w:r>
              <w:rPr>
                <w:rFonts w:ascii="Aptos" w:hAnsi="Aptos"/>
              </w:rPr>
            </w:r>
            <w:r>
              <w:rPr>
                <w:rFonts w:ascii="Aptos" w:hAnsi="Aptos"/>
                <w:b w:val="0"/>
                <w:sz w:val="16"/>
              </w:rPr>
              <w:t>Open</w:t>
            </w:r>
          </w:p>
        </w:tc>
        <w:tc>
          <w:tcPr>
            <w:tcW w:type="dxa" w:w="6192"/>
            <w:tcMar>
              <w:top w:w="80" w:type="dxa"/>
              <w:start w:w="80" w:type="dxa"/>
              <w:bottom w:w="80" w:type="dxa"/>
              <w:end w:w="80" w:type="dxa"/>
            </w:tcMar>
            <w:vAlign w:val="top"/>
          </w:tcPr>
          <w:p>
            <w:pPr>
              <w:spacing w:after="0"/>
            </w:pPr>
            <w:r>
              <w:rPr>
                <w:rFonts w:ascii="Aptos" w:hAnsi="Aptos"/>
              </w:rPr>
            </w:r>
            <w:r>
              <w:rPr>
                <w:rFonts w:ascii="Aptos" w:hAnsi="Aptos"/>
                <w:b w:val="0"/>
                <w:sz w:val="16"/>
              </w:rPr>
              <w:t>Project links should be updated from Netlify to GitHub Pages</w:t>
            </w:r>
          </w:p>
        </w:tc>
      </w:tr>
      <w:tr>
        <w:tc>
          <w:tcPr>
            <w:tcW w:type="dxa" w:w="1440"/>
            <w:tcMar>
              <w:top w:w="80" w:type="dxa"/>
              <w:start w:w="80" w:type="dxa"/>
              <w:bottom w:w="80" w:type="dxa"/>
              <w:end w:w="80" w:type="dxa"/>
            </w:tcMar>
            <w:vAlign w:val="top"/>
          </w:tcPr>
          <w:p>
            <w:pPr>
              <w:spacing w:after="0"/>
            </w:pPr>
            <w:r>
              <w:rPr>
                <w:rFonts w:ascii="Aptos" w:hAnsi="Aptos"/>
              </w:rPr>
            </w:r>
            <w:r>
              <w:rPr>
                <w:rFonts w:ascii="Aptos" w:hAnsi="Aptos"/>
                <w:b w:val="0"/>
                <w:sz w:val="16"/>
              </w:rPr>
              <w:t>SLX-AUD-06</w:t>
            </w:r>
          </w:p>
        </w:tc>
        <w:tc>
          <w:tcPr>
            <w:tcW w:type="dxa" w:w="1440"/>
            <w:tcMar>
              <w:top w:w="80" w:type="dxa"/>
              <w:start w:w="80" w:type="dxa"/>
              <w:bottom w:w="80" w:type="dxa"/>
              <w:end w:w="80" w:type="dxa"/>
            </w:tcMar>
            <w:vAlign w:val="top"/>
          </w:tcPr>
          <w:p>
            <w:pPr>
              <w:spacing w:after="0"/>
            </w:pPr>
            <w:r>
              <w:rPr>
                <w:rFonts w:ascii="Aptos" w:hAnsi="Aptos"/>
              </w:rPr>
            </w:r>
            <w:r>
              <w:rPr>
                <w:rFonts w:ascii="Aptos" w:hAnsi="Aptos"/>
                <w:b w:val="0"/>
                <w:sz w:val="16"/>
              </w:rPr>
              <w:t>Informational</w:t>
            </w:r>
          </w:p>
        </w:tc>
        <w:tc>
          <w:tcPr>
            <w:tcW w:type="dxa" w:w="2016"/>
            <w:tcMar>
              <w:top w:w="80" w:type="dxa"/>
              <w:start w:w="80" w:type="dxa"/>
              <w:bottom w:w="80" w:type="dxa"/>
              <w:end w:w="80" w:type="dxa"/>
            </w:tcMar>
            <w:vAlign w:val="top"/>
          </w:tcPr>
          <w:p>
            <w:pPr>
              <w:spacing w:after="0"/>
            </w:pPr>
            <w:r>
              <w:rPr>
                <w:rFonts w:ascii="Aptos" w:hAnsi="Aptos"/>
              </w:rPr>
            </w:r>
            <w:r>
              <w:rPr>
                <w:rFonts w:ascii="Aptos" w:hAnsi="Aptos"/>
                <w:b w:val="0"/>
                <w:sz w:val="16"/>
              </w:rPr>
              <w:t>Acknowledged</w:t>
            </w:r>
          </w:p>
        </w:tc>
        <w:tc>
          <w:tcPr>
            <w:tcW w:type="dxa" w:w="6192"/>
            <w:tcMar>
              <w:top w:w="80" w:type="dxa"/>
              <w:start w:w="80" w:type="dxa"/>
              <w:bottom w:w="80" w:type="dxa"/>
              <w:end w:w="80" w:type="dxa"/>
            </w:tcMar>
            <w:vAlign w:val="top"/>
          </w:tcPr>
          <w:p>
            <w:pPr>
              <w:spacing w:after="0"/>
            </w:pPr>
            <w:r>
              <w:rPr>
                <w:rFonts w:ascii="Aptos" w:hAnsi="Aptos"/>
              </w:rPr>
            </w:r>
            <w:r>
              <w:rPr>
                <w:rFonts w:ascii="Aptos" w:hAnsi="Aptos"/>
                <w:b w:val="0"/>
                <w:sz w:val="16"/>
              </w:rPr>
              <w:t>Testnet-only deployment status must remain explicit</w:t>
            </w:r>
          </w:p>
        </w:tc>
      </w:tr>
    </w:tbl>
    <w:p>
      <w:pPr>
        <w:pStyle w:val="Heading1"/>
      </w:pPr>
      <w:r>
        <w:rPr>
          <w:rFonts w:ascii="Aptos Display" w:hAnsi="Aptos Display"/>
          <w:color w:val="402A82"/>
        </w:rPr>
        <w:t>Scope and Methodology</w:t>
      </w:r>
    </w:p>
    <w:p>
      <w:r>
        <w:t>Scope included a documentation-based architectural review of the SLX token model, tokenomics, tax/vesting design and deployment posture.</w:t>
      </w:r>
    </w:p>
    <w:p>
      <w:r>
        <w:t>The review checked the public repository metadata, documented supply model, vesting schedule, declared OpenZeppelin dependencies, the Polygon Amoy contract address and the public project communication stack.</w:t>
      </w:r>
    </w:p>
    <w:p>
      <w:r>
        <w:t>This report uses a practical severity model: Critical, High, Medium, Low and Informational. Severity combines likelihood, impact and exploitability. Because complete Solidity source was not available in the reviewed repository, several items are marked as design or process risks rather than confirmed code-level vulnerabilities.</w:t>
      </w:r>
    </w:p>
    <w:tbl>
      <w:tblPr>
        <w:tblW w:type="auto" w:w="0"/>
        <w:jc w:val="center"/>
        <w:tblLook w:firstColumn="1" w:firstRow="1" w:lastColumn="0" w:lastRow="0" w:noHBand="0" w:noVBand="1" w:val="04A0"/>
      </w:tblPr>
      <w:tblGrid>
        <w:gridCol w:w="10166"/>
      </w:tblGrid>
      <w:tr>
        <w:tc>
          <w:tcPr>
            <w:tcW w:type="dxa" w:w="10166"/>
            <w:shd w:fill="F2F5FF"/>
            <w:tcMar>
              <w:top w:w="160" w:type="dxa"/>
              <w:start w:w="180" w:type="dxa"/>
              <w:bottom w:w="160" w:type="dxa"/>
              <w:end w:w="180" w:type="dxa"/>
            </w:tcMar>
          </w:tcPr>
          <w:p>
            <w:r>
              <w:rPr>
                <w:rFonts w:ascii="Aptos" w:hAnsi="Aptos"/>
                <w:b/>
                <w:color w:val="402A82"/>
                <w:sz w:val="20"/>
              </w:rPr>
              <w:t>What was not performed</w:t>
            </w:r>
          </w:p>
          <w:p>
            <w:pPr>
              <w:spacing w:after="0"/>
            </w:pPr>
            <w:r>
              <w:rPr>
                <w:rFonts w:ascii="Aptos" w:hAnsi="Aptos"/>
                <w:sz w:val="18"/>
              </w:rPr>
              <w:t>No Slither, Mythril, Foundry invariant tests, Echidna fuzzing, bytecode equivalence proof, storage-layout diff, or constructor-argument verification was performed in this document generation step. These are recommended before any production deployment.</w:t>
            </w:r>
          </w:p>
        </w:tc>
      </w:tr>
    </w:tbl>
    <w:p>
      <w:pPr>
        <w:pStyle w:val="Heading1"/>
      </w:pPr>
      <w:r>
        <w:rPr>
          <w:rFonts w:ascii="Aptos Display" w:hAnsi="Aptos Display"/>
          <w:color w:val="402A82"/>
        </w:rPr>
        <w:t>Documented Contract Properties Reviewed</w:t>
      </w:r>
    </w:p>
    <w:tbl>
      <w:tblPr>
        <w:tblStyle w:val="TableGrid"/>
        <w:tblW w:type="auto" w:w="0"/>
        <w:jc w:val="center"/>
        <w:tblLook w:firstColumn="1" w:firstRow="1" w:lastColumn="0" w:lastRow="0" w:noHBand="0" w:noVBand="1" w:val="04A0"/>
      </w:tblPr>
      <w:tblGrid>
        <w:gridCol w:w="3389"/>
        <w:gridCol w:w="3389"/>
        <w:gridCol w:w="3389"/>
      </w:tblGrid>
      <w:tr>
        <w:tc>
          <w:tcPr>
            <w:tcW w:type="dxa" w:w="3024"/>
            <w:shd w:fill="2D175E"/>
            <w:vAlign w:val="center"/>
            <w:tcMar>
              <w:top w:w="80" w:type="dxa"/>
              <w:start w:w="80" w:type="dxa"/>
              <w:bottom w:w="80" w:type="dxa"/>
              <w:end w:w="80" w:type="dxa"/>
            </w:tcMar>
          </w:tcPr>
          <w:p>
            <w:pPr>
              <w:spacing w:after="0"/>
            </w:pPr>
            <w:r>
              <w:rPr>
                <w:rFonts w:ascii="Aptos" w:hAnsi="Aptos"/>
              </w:rPr>
            </w:r>
            <w:r>
              <w:rPr>
                <w:rFonts w:ascii="Aptos" w:hAnsi="Aptos"/>
                <w:b/>
                <w:color w:val="FFFFFF"/>
                <w:sz w:val="17"/>
              </w:rPr>
              <w:t>Control</w:t>
            </w:r>
          </w:p>
        </w:tc>
        <w:tc>
          <w:tcPr>
            <w:tcW w:type="dxa" w:w="2880"/>
            <w:shd w:fill="2D175E"/>
            <w:vAlign w:val="center"/>
            <w:tcMar>
              <w:top w:w="80" w:type="dxa"/>
              <w:start w:w="80" w:type="dxa"/>
              <w:bottom w:w="80" w:type="dxa"/>
              <w:end w:w="80" w:type="dxa"/>
            </w:tcMar>
          </w:tcPr>
          <w:p>
            <w:pPr>
              <w:spacing w:after="0"/>
            </w:pPr>
            <w:r>
              <w:rPr>
                <w:rFonts w:ascii="Aptos" w:hAnsi="Aptos"/>
              </w:rPr>
            </w:r>
            <w:r>
              <w:rPr>
                <w:rFonts w:ascii="Aptos" w:hAnsi="Aptos"/>
                <w:b/>
                <w:color w:val="FFFFFF"/>
                <w:sz w:val="17"/>
              </w:rPr>
              <w:t>Review Status</w:t>
            </w:r>
          </w:p>
        </w:tc>
        <w:tc>
          <w:tcPr>
            <w:tcW w:type="dxa" w:w="5328"/>
            <w:shd w:fill="2D175E"/>
            <w:vAlign w:val="center"/>
            <w:tcMar>
              <w:top w:w="80" w:type="dxa"/>
              <w:start w:w="80" w:type="dxa"/>
              <w:bottom w:w="80" w:type="dxa"/>
              <w:end w:w="80" w:type="dxa"/>
            </w:tcMar>
          </w:tcPr>
          <w:p>
            <w:pPr>
              <w:spacing w:after="0"/>
            </w:pPr>
            <w:r>
              <w:rPr>
                <w:rFonts w:ascii="Aptos" w:hAnsi="Aptos"/>
              </w:rPr>
            </w:r>
            <w:r>
              <w:rPr>
                <w:rFonts w:ascii="Aptos" w:hAnsi="Aptos"/>
                <w:b/>
                <w:color w:val="FFFFFF"/>
                <w:sz w:val="17"/>
              </w:rPr>
              <w:t>Observation</w:t>
            </w:r>
          </w:p>
        </w:tc>
      </w:tr>
      <w:tr>
        <w:tc>
          <w:tcPr>
            <w:tcW w:type="dxa" w:w="3024"/>
            <w:tcMar>
              <w:top w:w="80" w:type="dxa"/>
              <w:start w:w="80" w:type="dxa"/>
              <w:bottom w:w="80" w:type="dxa"/>
              <w:end w:w="80" w:type="dxa"/>
            </w:tcMar>
            <w:vAlign w:val="top"/>
          </w:tcPr>
          <w:p>
            <w:pPr>
              <w:spacing w:after="0"/>
            </w:pPr>
            <w:r>
              <w:rPr>
                <w:rFonts w:ascii="Aptos" w:hAnsi="Aptos"/>
              </w:rPr>
            </w:r>
            <w:r>
              <w:rPr>
                <w:rFonts w:ascii="Aptos" w:hAnsi="Aptos"/>
                <w:b w:val="0"/>
                <w:sz w:val="16"/>
              </w:rPr>
              <w:t>ERC-20 fixed supply</w:t>
            </w:r>
          </w:p>
        </w:tc>
        <w:tc>
          <w:tcPr>
            <w:tcW w:type="dxa" w:w="2880"/>
            <w:tcMar>
              <w:top w:w="80" w:type="dxa"/>
              <w:start w:w="80" w:type="dxa"/>
              <w:bottom w:w="80" w:type="dxa"/>
              <w:end w:w="80" w:type="dxa"/>
            </w:tcMar>
            <w:vAlign w:val="top"/>
          </w:tcPr>
          <w:p>
            <w:pPr>
              <w:spacing w:after="0"/>
            </w:pPr>
            <w:r>
              <w:rPr>
                <w:rFonts w:ascii="Aptos" w:hAnsi="Aptos"/>
              </w:rPr>
            </w:r>
            <w:r>
              <w:rPr>
                <w:rFonts w:ascii="Aptos" w:hAnsi="Aptos"/>
                <w:b w:val="0"/>
                <w:sz w:val="16"/>
              </w:rPr>
              <w:t>Partially verified from documentation</w:t>
            </w:r>
          </w:p>
        </w:tc>
        <w:tc>
          <w:tcPr>
            <w:tcW w:type="dxa" w:w="5328"/>
            <w:tcMar>
              <w:top w:w="80" w:type="dxa"/>
              <w:start w:w="80" w:type="dxa"/>
              <w:bottom w:w="80" w:type="dxa"/>
              <w:end w:w="80" w:type="dxa"/>
            </w:tcMar>
            <w:vAlign w:val="top"/>
          </w:tcPr>
          <w:p>
            <w:pPr>
              <w:spacing w:after="0"/>
            </w:pPr>
            <w:r>
              <w:rPr>
                <w:rFonts w:ascii="Aptos" w:hAnsi="Aptos"/>
              </w:rPr>
            </w:r>
            <w:r>
              <w:rPr>
                <w:rFonts w:ascii="Aptos" w:hAnsi="Aptos"/>
                <w:b w:val="0"/>
                <w:sz w:val="16"/>
              </w:rPr>
              <w:t>10B SLX fixed supply documented.</w:t>
            </w:r>
          </w:p>
        </w:tc>
      </w:tr>
      <w:tr>
        <w:tc>
          <w:tcPr>
            <w:tcW w:type="dxa" w:w="3024"/>
            <w:tcMar>
              <w:top w:w="80" w:type="dxa"/>
              <w:start w:w="80" w:type="dxa"/>
              <w:bottom w:w="80" w:type="dxa"/>
              <w:end w:w="80" w:type="dxa"/>
            </w:tcMar>
            <w:vAlign w:val="top"/>
          </w:tcPr>
          <w:p>
            <w:pPr>
              <w:spacing w:after="0"/>
            </w:pPr>
            <w:r>
              <w:rPr>
                <w:rFonts w:ascii="Aptos" w:hAnsi="Aptos"/>
              </w:rPr>
            </w:r>
            <w:r>
              <w:rPr>
                <w:rFonts w:ascii="Aptos" w:hAnsi="Aptos"/>
                <w:b w:val="0"/>
                <w:sz w:val="16"/>
              </w:rPr>
              <w:t>No mint after deploy</w:t>
            </w:r>
          </w:p>
        </w:tc>
        <w:tc>
          <w:tcPr>
            <w:tcW w:type="dxa" w:w="2880"/>
            <w:tcMar>
              <w:top w:w="80" w:type="dxa"/>
              <w:start w:w="80" w:type="dxa"/>
              <w:bottom w:w="80" w:type="dxa"/>
              <w:end w:w="80" w:type="dxa"/>
            </w:tcMar>
            <w:vAlign w:val="top"/>
          </w:tcPr>
          <w:p>
            <w:pPr>
              <w:spacing w:after="0"/>
            </w:pPr>
            <w:r>
              <w:rPr>
                <w:rFonts w:ascii="Aptos" w:hAnsi="Aptos"/>
              </w:rPr>
            </w:r>
            <w:r>
              <w:rPr>
                <w:rFonts w:ascii="Aptos" w:hAnsi="Aptos"/>
                <w:b w:val="0"/>
                <w:sz w:val="16"/>
              </w:rPr>
              <w:t>Documented</w:t>
            </w:r>
          </w:p>
        </w:tc>
        <w:tc>
          <w:tcPr>
            <w:tcW w:type="dxa" w:w="5328"/>
            <w:tcMar>
              <w:top w:w="80" w:type="dxa"/>
              <w:start w:w="80" w:type="dxa"/>
              <w:bottom w:w="80" w:type="dxa"/>
              <w:end w:w="80" w:type="dxa"/>
            </w:tcMar>
            <w:vAlign w:val="top"/>
          </w:tcPr>
          <w:p>
            <w:pPr>
              <w:spacing w:after="0"/>
            </w:pPr>
            <w:r>
              <w:rPr>
                <w:rFonts w:ascii="Aptos" w:hAnsi="Aptos"/>
              </w:rPr>
            </w:r>
            <w:r>
              <w:rPr>
                <w:rFonts w:ascii="Aptos" w:hAnsi="Aptos"/>
                <w:b w:val="0"/>
                <w:sz w:val="16"/>
              </w:rPr>
              <w:t>README states no mint after deploy.</w:t>
            </w:r>
          </w:p>
        </w:tc>
      </w:tr>
      <w:tr>
        <w:tc>
          <w:tcPr>
            <w:tcW w:type="dxa" w:w="3024"/>
            <w:tcMar>
              <w:top w:w="80" w:type="dxa"/>
              <w:start w:w="80" w:type="dxa"/>
              <w:bottom w:w="80" w:type="dxa"/>
              <w:end w:w="80" w:type="dxa"/>
            </w:tcMar>
            <w:vAlign w:val="top"/>
          </w:tcPr>
          <w:p>
            <w:pPr>
              <w:spacing w:after="0"/>
            </w:pPr>
            <w:r>
              <w:rPr>
                <w:rFonts w:ascii="Aptos" w:hAnsi="Aptos"/>
              </w:rPr>
            </w:r>
            <w:r>
              <w:rPr>
                <w:rFonts w:ascii="Aptos" w:hAnsi="Aptos"/>
                <w:b w:val="0"/>
                <w:sz w:val="16"/>
              </w:rPr>
              <w:t>Burn functionality</w:t>
            </w:r>
          </w:p>
        </w:tc>
        <w:tc>
          <w:tcPr>
            <w:tcW w:type="dxa" w:w="2880"/>
            <w:tcMar>
              <w:top w:w="80" w:type="dxa"/>
              <w:start w:w="80" w:type="dxa"/>
              <w:bottom w:w="80" w:type="dxa"/>
              <w:end w:w="80" w:type="dxa"/>
            </w:tcMar>
            <w:vAlign w:val="top"/>
          </w:tcPr>
          <w:p>
            <w:pPr>
              <w:spacing w:after="0"/>
            </w:pPr>
            <w:r>
              <w:rPr>
                <w:rFonts w:ascii="Aptos" w:hAnsi="Aptos"/>
              </w:rPr>
            </w:r>
            <w:r>
              <w:rPr>
                <w:rFonts w:ascii="Aptos" w:hAnsi="Aptos"/>
                <w:b w:val="0"/>
                <w:sz w:val="16"/>
              </w:rPr>
              <w:t>Documented</w:t>
            </w:r>
          </w:p>
        </w:tc>
        <w:tc>
          <w:tcPr>
            <w:tcW w:type="dxa" w:w="5328"/>
            <w:tcMar>
              <w:top w:w="80" w:type="dxa"/>
              <w:start w:w="80" w:type="dxa"/>
              <w:bottom w:w="80" w:type="dxa"/>
              <w:end w:w="80" w:type="dxa"/>
            </w:tcMar>
            <w:vAlign w:val="top"/>
          </w:tcPr>
          <w:p>
            <w:pPr>
              <w:spacing w:after="0"/>
            </w:pPr>
            <w:r>
              <w:rPr>
                <w:rFonts w:ascii="Aptos" w:hAnsi="Aptos"/>
              </w:rPr>
            </w:r>
            <w:r>
              <w:rPr>
                <w:rFonts w:ascii="Aptos" w:hAnsi="Aptos"/>
                <w:b w:val="0"/>
                <w:sz w:val="16"/>
              </w:rPr>
              <w:t>ERC20Burnable is declared by README.</w:t>
            </w:r>
          </w:p>
        </w:tc>
      </w:tr>
      <w:tr>
        <w:tc>
          <w:tcPr>
            <w:tcW w:type="dxa" w:w="3024"/>
            <w:tcMar>
              <w:top w:w="80" w:type="dxa"/>
              <w:start w:w="80" w:type="dxa"/>
              <w:bottom w:w="80" w:type="dxa"/>
              <w:end w:w="80" w:type="dxa"/>
            </w:tcMar>
            <w:vAlign w:val="top"/>
          </w:tcPr>
          <w:p>
            <w:pPr>
              <w:spacing w:after="0"/>
            </w:pPr>
            <w:r>
              <w:rPr>
                <w:rFonts w:ascii="Aptos" w:hAnsi="Aptos"/>
              </w:rPr>
            </w:r>
            <w:r>
              <w:rPr>
                <w:rFonts w:ascii="Aptos" w:hAnsi="Aptos"/>
                <w:b w:val="0"/>
                <w:sz w:val="16"/>
              </w:rPr>
              <w:t>Tax cap enforcement</w:t>
            </w:r>
          </w:p>
        </w:tc>
        <w:tc>
          <w:tcPr>
            <w:tcW w:type="dxa" w:w="2880"/>
            <w:tcMar>
              <w:top w:w="80" w:type="dxa"/>
              <w:start w:w="80" w:type="dxa"/>
              <w:bottom w:w="80" w:type="dxa"/>
              <w:end w:w="80" w:type="dxa"/>
            </w:tcMar>
            <w:vAlign w:val="top"/>
          </w:tcPr>
          <w:p>
            <w:pPr>
              <w:spacing w:after="0"/>
            </w:pPr>
            <w:r>
              <w:rPr>
                <w:rFonts w:ascii="Aptos" w:hAnsi="Aptos"/>
              </w:rPr>
            </w:r>
            <w:r>
              <w:rPr>
                <w:rFonts w:ascii="Aptos" w:hAnsi="Aptos"/>
                <w:b w:val="0"/>
                <w:sz w:val="16"/>
              </w:rPr>
              <w:t>Documented, source review pending</w:t>
            </w:r>
          </w:p>
        </w:tc>
        <w:tc>
          <w:tcPr>
            <w:tcW w:type="dxa" w:w="5328"/>
            <w:tcMar>
              <w:top w:w="80" w:type="dxa"/>
              <w:start w:w="80" w:type="dxa"/>
              <w:bottom w:w="80" w:type="dxa"/>
              <w:end w:w="80" w:type="dxa"/>
            </w:tcMar>
            <w:vAlign w:val="top"/>
          </w:tcPr>
          <w:p>
            <w:pPr>
              <w:spacing w:after="0"/>
            </w:pPr>
            <w:r>
              <w:rPr>
                <w:rFonts w:ascii="Aptos" w:hAnsi="Aptos"/>
              </w:rPr>
            </w:r>
            <w:r>
              <w:rPr>
                <w:rFonts w:ascii="Aptos" w:hAnsi="Aptos"/>
                <w:b w:val="0"/>
                <w:sz w:val="16"/>
              </w:rPr>
              <w:t>10% immutable cap documented; implementation requires source verification.</w:t>
            </w:r>
          </w:p>
        </w:tc>
      </w:tr>
      <w:tr>
        <w:tc>
          <w:tcPr>
            <w:tcW w:type="dxa" w:w="3024"/>
            <w:tcMar>
              <w:top w:w="80" w:type="dxa"/>
              <w:start w:w="80" w:type="dxa"/>
              <w:bottom w:w="80" w:type="dxa"/>
              <w:end w:w="80" w:type="dxa"/>
            </w:tcMar>
            <w:vAlign w:val="top"/>
          </w:tcPr>
          <w:p>
            <w:pPr>
              <w:spacing w:after="0"/>
            </w:pPr>
            <w:r>
              <w:rPr>
                <w:rFonts w:ascii="Aptos" w:hAnsi="Aptos"/>
              </w:rPr>
            </w:r>
            <w:r>
              <w:rPr>
                <w:rFonts w:ascii="Aptos" w:hAnsi="Aptos"/>
                <w:b w:val="0"/>
                <w:sz w:val="16"/>
              </w:rPr>
              <w:t>Vesting cliffs and release math</w:t>
            </w:r>
          </w:p>
        </w:tc>
        <w:tc>
          <w:tcPr>
            <w:tcW w:type="dxa" w:w="2880"/>
            <w:tcMar>
              <w:top w:w="80" w:type="dxa"/>
              <w:start w:w="80" w:type="dxa"/>
              <w:bottom w:w="80" w:type="dxa"/>
              <w:end w:w="80" w:type="dxa"/>
            </w:tcMar>
            <w:vAlign w:val="top"/>
          </w:tcPr>
          <w:p>
            <w:pPr>
              <w:spacing w:after="0"/>
            </w:pPr>
            <w:r>
              <w:rPr>
                <w:rFonts w:ascii="Aptos" w:hAnsi="Aptos"/>
              </w:rPr>
            </w:r>
            <w:r>
              <w:rPr>
                <w:rFonts w:ascii="Aptos" w:hAnsi="Aptos"/>
                <w:b w:val="0"/>
                <w:sz w:val="16"/>
              </w:rPr>
              <w:t>Design reviewed, source review pending</w:t>
            </w:r>
          </w:p>
        </w:tc>
        <w:tc>
          <w:tcPr>
            <w:tcW w:type="dxa" w:w="5328"/>
            <w:tcMar>
              <w:top w:w="80" w:type="dxa"/>
              <w:start w:w="80" w:type="dxa"/>
              <w:bottom w:w="80" w:type="dxa"/>
              <w:end w:w="80" w:type="dxa"/>
            </w:tcMar>
            <w:vAlign w:val="top"/>
          </w:tcPr>
          <w:p>
            <w:pPr>
              <w:spacing w:after="0"/>
            </w:pPr>
            <w:r>
              <w:rPr>
                <w:rFonts w:ascii="Aptos" w:hAnsi="Aptos"/>
              </w:rPr>
            </w:r>
            <w:r>
              <w:rPr>
                <w:rFonts w:ascii="Aptos" w:hAnsi="Aptos"/>
                <w:b w:val="0"/>
                <w:sz w:val="16"/>
              </w:rPr>
              <w:t>Schedule and durations documented; release logic requires source-level inspection.</w:t>
            </w:r>
          </w:p>
        </w:tc>
      </w:tr>
      <w:tr>
        <w:tc>
          <w:tcPr>
            <w:tcW w:type="dxa" w:w="3024"/>
            <w:tcMar>
              <w:top w:w="80" w:type="dxa"/>
              <w:start w:w="80" w:type="dxa"/>
              <w:bottom w:w="80" w:type="dxa"/>
              <w:end w:w="80" w:type="dxa"/>
            </w:tcMar>
            <w:vAlign w:val="top"/>
          </w:tcPr>
          <w:p>
            <w:pPr>
              <w:spacing w:after="0"/>
            </w:pPr>
            <w:r>
              <w:rPr>
                <w:rFonts w:ascii="Aptos" w:hAnsi="Aptos"/>
              </w:rPr>
            </w:r>
            <w:r>
              <w:rPr>
                <w:rFonts w:ascii="Aptos" w:hAnsi="Aptos"/>
                <w:b w:val="0"/>
                <w:sz w:val="16"/>
              </w:rPr>
              <w:t>Owner privileges</w:t>
            </w:r>
          </w:p>
        </w:tc>
        <w:tc>
          <w:tcPr>
            <w:tcW w:type="dxa" w:w="2880"/>
            <w:tcMar>
              <w:top w:w="80" w:type="dxa"/>
              <w:start w:w="80" w:type="dxa"/>
              <w:bottom w:w="80" w:type="dxa"/>
              <w:end w:w="80" w:type="dxa"/>
            </w:tcMar>
            <w:vAlign w:val="top"/>
          </w:tcPr>
          <w:p>
            <w:pPr>
              <w:spacing w:after="0"/>
            </w:pPr>
            <w:r>
              <w:rPr>
                <w:rFonts w:ascii="Aptos" w:hAnsi="Aptos"/>
              </w:rPr>
            </w:r>
            <w:r>
              <w:rPr>
                <w:rFonts w:ascii="Aptos" w:hAnsi="Aptos"/>
                <w:b w:val="0"/>
                <w:sz w:val="16"/>
              </w:rPr>
              <w:t>Requires source review</w:t>
            </w:r>
          </w:p>
        </w:tc>
        <w:tc>
          <w:tcPr>
            <w:tcW w:type="dxa" w:w="5328"/>
            <w:tcMar>
              <w:top w:w="80" w:type="dxa"/>
              <w:start w:w="80" w:type="dxa"/>
              <w:bottom w:w="80" w:type="dxa"/>
              <w:end w:w="80" w:type="dxa"/>
            </w:tcMar>
            <w:vAlign w:val="top"/>
          </w:tcPr>
          <w:p>
            <w:pPr>
              <w:spacing w:after="0"/>
            </w:pPr>
            <w:r>
              <w:rPr>
                <w:rFonts w:ascii="Aptos" w:hAnsi="Aptos"/>
              </w:rPr>
            </w:r>
            <w:r>
              <w:rPr>
                <w:rFonts w:ascii="Aptos" w:hAnsi="Aptos"/>
                <w:b w:val="0"/>
                <w:sz w:val="16"/>
              </w:rPr>
              <w:t>Ownable is documented; exact privileged functions should be verified.</w:t>
            </w:r>
          </w:p>
        </w:tc>
      </w:tr>
      <w:tr>
        <w:tc>
          <w:tcPr>
            <w:tcW w:type="dxa" w:w="3024"/>
            <w:tcMar>
              <w:top w:w="80" w:type="dxa"/>
              <w:start w:w="80" w:type="dxa"/>
              <w:bottom w:w="80" w:type="dxa"/>
              <w:end w:w="80" w:type="dxa"/>
            </w:tcMar>
            <w:vAlign w:val="top"/>
          </w:tcPr>
          <w:p>
            <w:pPr>
              <w:spacing w:after="0"/>
            </w:pPr>
            <w:r>
              <w:rPr>
                <w:rFonts w:ascii="Aptos" w:hAnsi="Aptos"/>
              </w:rPr>
            </w:r>
            <w:r>
              <w:rPr>
                <w:rFonts w:ascii="Aptos" w:hAnsi="Aptos"/>
                <w:b w:val="0"/>
                <w:sz w:val="16"/>
              </w:rPr>
              <w:t>DEX/pair configuration</w:t>
            </w:r>
          </w:p>
        </w:tc>
        <w:tc>
          <w:tcPr>
            <w:tcW w:type="dxa" w:w="2880"/>
            <w:tcMar>
              <w:top w:w="80" w:type="dxa"/>
              <w:start w:w="80" w:type="dxa"/>
              <w:bottom w:w="80" w:type="dxa"/>
              <w:end w:w="80" w:type="dxa"/>
            </w:tcMar>
            <w:vAlign w:val="top"/>
          </w:tcPr>
          <w:p>
            <w:pPr>
              <w:spacing w:after="0"/>
            </w:pPr>
            <w:r>
              <w:rPr>
                <w:rFonts w:ascii="Aptos" w:hAnsi="Aptos"/>
              </w:rPr>
            </w:r>
            <w:r>
              <w:rPr>
                <w:rFonts w:ascii="Aptos" w:hAnsi="Aptos"/>
                <w:b w:val="0"/>
                <w:sz w:val="16"/>
              </w:rPr>
              <w:t>Requires source review</w:t>
            </w:r>
          </w:p>
        </w:tc>
        <w:tc>
          <w:tcPr>
            <w:tcW w:type="dxa" w:w="5328"/>
            <w:tcMar>
              <w:top w:w="80" w:type="dxa"/>
              <w:start w:w="80" w:type="dxa"/>
              <w:bottom w:w="80" w:type="dxa"/>
              <w:end w:w="80" w:type="dxa"/>
            </w:tcMar>
            <w:vAlign w:val="top"/>
          </w:tcPr>
          <w:p>
            <w:pPr>
              <w:spacing w:after="0"/>
            </w:pPr>
            <w:r>
              <w:rPr>
                <w:rFonts w:ascii="Aptos" w:hAnsi="Aptos"/>
              </w:rPr>
            </w:r>
            <w:r>
              <w:rPr>
                <w:rFonts w:ascii="Aptos" w:hAnsi="Aptos"/>
                <w:b w:val="0"/>
                <w:sz w:val="16"/>
              </w:rPr>
              <w:t>Tax routing usually depends on pair detection; implementation not reviewed here.</w:t>
            </w:r>
          </w:p>
        </w:tc>
      </w:tr>
      <w:tr>
        <w:tc>
          <w:tcPr>
            <w:tcW w:type="dxa" w:w="3024"/>
            <w:tcMar>
              <w:top w:w="80" w:type="dxa"/>
              <w:start w:w="80" w:type="dxa"/>
              <w:bottom w:w="80" w:type="dxa"/>
              <w:end w:w="80" w:type="dxa"/>
            </w:tcMar>
            <w:vAlign w:val="top"/>
          </w:tcPr>
          <w:p>
            <w:pPr>
              <w:spacing w:after="0"/>
            </w:pPr>
            <w:r>
              <w:rPr>
                <w:rFonts w:ascii="Aptos" w:hAnsi="Aptos"/>
              </w:rPr>
            </w:r>
            <w:r>
              <w:rPr>
                <w:rFonts w:ascii="Aptos" w:hAnsi="Aptos"/>
                <w:b w:val="0"/>
                <w:sz w:val="16"/>
              </w:rPr>
              <w:t>Reentrancy exposure</w:t>
            </w:r>
          </w:p>
        </w:tc>
        <w:tc>
          <w:tcPr>
            <w:tcW w:type="dxa" w:w="2880"/>
            <w:tcMar>
              <w:top w:w="80" w:type="dxa"/>
              <w:start w:w="80" w:type="dxa"/>
              <w:bottom w:w="80" w:type="dxa"/>
              <w:end w:w="80" w:type="dxa"/>
            </w:tcMar>
            <w:vAlign w:val="top"/>
          </w:tcPr>
          <w:p>
            <w:pPr>
              <w:spacing w:after="0"/>
            </w:pPr>
            <w:r>
              <w:rPr>
                <w:rFonts w:ascii="Aptos" w:hAnsi="Aptos"/>
              </w:rPr>
            </w:r>
            <w:r>
              <w:rPr>
                <w:rFonts w:ascii="Aptos" w:hAnsi="Aptos"/>
                <w:b w:val="0"/>
                <w:sz w:val="16"/>
              </w:rPr>
              <w:t>Likely low for pure ERC-20 transfers, source review pending</w:t>
            </w:r>
          </w:p>
        </w:tc>
        <w:tc>
          <w:tcPr>
            <w:tcW w:type="dxa" w:w="5328"/>
            <w:tcMar>
              <w:top w:w="80" w:type="dxa"/>
              <w:start w:w="80" w:type="dxa"/>
              <w:bottom w:w="80" w:type="dxa"/>
              <w:end w:w="80" w:type="dxa"/>
            </w:tcMar>
            <w:vAlign w:val="top"/>
          </w:tcPr>
          <w:p>
            <w:pPr>
              <w:spacing w:after="0"/>
            </w:pPr>
            <w:r>
              <w:rPr>
                <w:rFonts w:ascii="Aptos" w:hAnsi="Aptos"/>
              </w:rPr>
            </w:r>
            <w:r>
              <w:rPr>
                <w:rFonts w:ascii="Aptos" w:hAnsi="Aptos"/>
                <w:b w:val="0"/>
                <w:sz w:val="16"/>
              </w:rPr>
              <w:t>No ETH withdrawal logic evidenced, but final code must be checked.</w:t>
            </w:r>
          </w:p>
        </w:tc>
      </w:tr>
      <w:tr>
        <w:tc>
          <w:tcPr>
            <w:tcW w:type="dxa" w:w="3024"/>
            <w:tcMar>
              <w:top w:w="80" w:type="dxa"/>
              <w:start w:w="80" w:type="dxa"/>
              <w:bottom w:w="80" w:type="dxa"/>
              <w:end w:w="80" w:type="dxa"/>
            </w:tcMar>
            <w:vAlign w:val="top"/>
          </w:tcPr>
          <w:p>
            <w:pPr>
              <w:spacing w:after="0"/>
            </w:pPr>
            <w:r>
              <w:rPr>
                <w:rFonts w:ascii="Aptos" w:hAnsi="Aptos"/>
              </w:rPr>
            </w:r>
            <w:r>
              <w:rPr>
                <w:rFonts w:ascii="Aptos" w:hAnsi="Aptos"/>
                <w:b w:val="0"/>
                <w:sz w:val="16"/>
              </w:rPr>
              <w:t>Overflow/underflow</w:t>
            </w:r>
          </w:p>
        </w:tc>
        <w:tc>
          <w:tcPr>
            <w:tcW w:type="dxa" w:w="2880"/>
            <w:tcMar>
              <w:top w:w="80" w:type="dxa"/>
              <w:start w:w="80" w:type="dxa"/>
              <w:bottom w:w="80" w:type="dxa"/>
              <w:end w:w="80" w:type="dxa"/>
            </w:tcMar>
            <w:vAlign w:val="top"/>
          </w:tcPr>
          <w:p>
            <w:pPr>
              <w:spacing w:after="0"/>
            </w:pPr>
            <w:r>
              <w:rPr>
                <w:rFonts w:ascii="Aptos" w:hAnsi="Aptos"/>
              </w:rPr>
            </w:r>
            <w:r>
              <w:rPr>
                <w:rFonts w:ascii="Aptos" w:hAnsi="Aptos"/>
                <w:b w:val="0"/>
                <w:sz w:val="16"/>
              </w:rPr>
              <w:t>Likely mitigated by Solidity 0.8+</w:t>
            </w:r>
          </w:p>
        </w:tc>
        <w:tc>
          <w:tcPr>
            <w:tcW w:type="dxa" w:w="5328"/>
            <w:tcMar>
              <w:top w:w="80" w:type="dxa"/>
              <w:start w:w="80" w:type="dxa"/>
              <w:bottom w:w="80" w:type="dxa"/>
              <w:end w:w="80" w:type="dxa"/>
            </w:tcMar>
            <w:vAlign w:val="top"/>
          </w:tcPr>
          <w:p>
            <w:pPr>
              <w:spacing w:after="0"/>
            </w:pPr>
            <w:r>
              <w:rPr>
                <w:rFonts w:ascii="Aptos" w:hAnsi="Aptos"/>
              </w:rPr>
            </w:r>
            <w:r>
              <w:rPr>
                <w:rFonts w:ascii="Aptos" w:hAnsi="Aptos"/>
                <w:b w:val="0"/>
                <w:sz w:val="16"/>
              </w:rPr>
              <w:t>Solidity 0.8+ has checked arithmetic by default.</w:t>
            </w:r>
          </w:p>
        </w:tc>
      </w:tr>
      <w:tr>
        <w:tc>
          <w:tcPr>
            <w:tcW w:type="dxa" w:w="3024"/>
            <w:tcMar>
              <w:top w:w="80" w:type="dxa"/>
              <w:start w:w="80" w:type="dxa"/>
              <w:bottom w:w="80" w:type="dxa"/>
              <w:end w:w="80" w:type="dxa"/>
            </w:tcMar>
            <w:vAlign w:val="top"/>
          </w:tcPr>
          <w:p>
            <w:pPr>
              <w:spacing w:after="0"/>
            </w:pPr>
            <w:r>
              <w:rPr>
                <w:rFonts w:ascii="Aptos" w:hAnsi="Aptos"/>
              </w:rPr>
            </w:r>
            <w:r>
              <w:rPr>
                <w:rFonts w:ascii="Aptos" w:hAnsi="Aptos"/>
                <w:b w:val="0"/>
                <w:sz w:val="16"/>
              </w:rPr>
              <w:t>Dependency risk</w:t>
            </w:r>
          </w:p>
        </w:tc>
        <w:tc>
          <w:tcPr>
            <w:tcW w:type="dxa" w:w="2880"/>
            <w:tcMar>
              <w:top w:w="80" w:type="dxa"/>
              <w:start w:w="80" w:type="dxa"/>
              <w:bottom w:w="80" w:type="dxa"/>
              <w:end w:w="80" w:type="dxa"/>
            </w:tcMar>
            <w:vAlign w:val="top"/>
          </w:tcPr>
          <w:p>
            <w:pPr>
              <w:spacing w:after="0"/>
            </w:pPr>
            <w:r>
              <w:rPr>
                <w:rFonts w:ascii="Aptos" w:hAnsi="Aptos"/>
              </w:rPr>
            </w:r>
            <w:r>
              <w:rPr>
                <w:rFonts w:ascii="Aptos" w:hAnsi="Aptos"/>
                <w:b w:val="0"/>
                <w:sz w:val="16"/>
              </w:rPr>
              <w:t>Acceptable if OpenZeppelin v5.x imported unmodified</w:t>
            </w:r>
          </w:p>
        </w:tc>
        <w:tc>
          <w:tcPr>
            <w:tcW w:type="dxa" w:w="5328"/>
            <w:tcMar>
              <w:top w:w="80" w:type="dxa"/>
              <w:start w:w="80" w:type="dxa"/>
              <w:bottom w:w="80" w:type="dxa"/>
              <w:end w:w="80" w:type="dxa"/>
            </w:tcMar>
            <w:vAlign w:val="top"/>
          </w:tcPr>
          <w:p>
            <w:pPr>
              <w:spacing w:after="0"/>
            </w:pPr>
            <w:r>
              <w:rPr>
                <w:rFonts w:ascii="Aptos" w:hAnsi="Aptos"/>
              </w:rPr>
            </w:r>
            <w:r>
              <w:rPr>
                <w:rFonts w:ascii="Aptos" w:hAnsi="Aptos"/>
                <w:b w:val="0"/>
                <w:sz w:val="16"/>
              </w:rPr>
              <w:t>Use exact pinned version for reproducible deployment.</w:t>
            </w:r>
          </w:p>
        </w:tc>
      </w:tr>
    </w:tbl>
    <w:p>
      <w:pPr>
        <w:pStyle w:val="Heading1"/>
      </w:pPr>
      <w:r>
        <w:rPr>
          <w:rFonts w:ascii="Aptos Display" w:hAnsi="Aptos Display"/>
          <w:color w:val="402A82"/>
        </w:rPr>
        <w:t>Detailed Findings</w:t>
      </w:r>
    </w:p>
    <w:p>
      <w:pPr>
        <w:pStyle w:val="Heading2"/>
      </w:pPr>
      <w:r>
        <w:rPr>
          <w:rFonts w:ascii="Aptos Display" w:hAnsi="Aptos Display"/>
          <w:color w:val="6C3DF4"/>
        </w:rPr>
        <w:t>SLX-AUD-01 - Final source-code audit and automated security tooling not yet evidenced in repository</w:t>
      </w:r>
    </w:p>
    <w:p>
      <w:r>
        <w:rPr>
          <w:b/>
          <w:color w:val="E65C00"/>
        </w:rPr>
        <w:t>Severity: High | Status: Open</w:t>
      </w:r>
    </w:p>
    <w:p>
      <w:r>
        <w:t>Description: The public GitHub contract repository observed during this review provides project-level metadata and states that the source is verified on Polygon Amoy. However, the Solidity source files and test suite were not available in the repository during this document preparation. This limits reproducibility and prevents a full source-level review from the repository alone.</w:t>
      </w:r>
    </w:p>
    <w:p>
      <w:r>
        <w:t>Impact: Mainnet launch with unreviewed source or missing test evidence could expose the project to logic errors, privileged-role mistakes or tokenomics misconfiguration.</w:t>
      </w:r>
    </w:p>
    <w:p>
      <w:r>
        <w:t>Recommendation: Before mainnet deployment, publish the complete Solidity source tree, deployment scripts, constructor arguments, test suite, coverage report, Slither/Mythril outputs and exact compiler settings. Run a full line-by-line audit after source publication.</w:t>
      </w:r>
    </w:p>
    <w:p>
      <w:pPr>
        <w:pStyle w:val="Heading2"/>
      </w:pPr>
      <w:r>
        <w:rPr>
          <w:rFonts w:ascii="Aptos Display" w:hAnsi="Aptos Display"/>
          <w:color w:val="6C3DF4"/>
        </w:rPr>
        <w:t>SLX-AUD-02 - Owner-controlled tax configuration requires governance guardrails</w:t>
      </w:r>
    </w:p>
    <w:p>
      <w:r>
        <w:rPr>
          <w:b/>
          <w:color w:val="C09000"/>
        </w:rPr>
        <w:t>Severity: Medium | Status: Review Required</w:t>
      </w:r>
    </w:p>
    <w:p>
      <w:r>
        <w:t>Description: The README states buy tax = 2%, sell tax = 3%, and max tax hard cap = 10%. If these values are owner-controlled, this creates a centralization and trust surface. The cap reduces the risk but does not remove governance concerns.</w:t>
      </w:r>
    </w:p>
    <w:p>
      <w:r>
        <w:t>Impact: The token design includes configurable buy and sell taxes, capped at 10%. Even with a hard cap, users should understand who can change tax parameters and under what governance process.</w:t>
      </w:r>
    </w:p>
    <w:p>
      <w:r>
        <w:t>Recommendation: Use a multisig for owner authority, publish a tax-change policy, add time delay / timelock for sensitive tax updates where possible, and emit explicit events on all configuration changes.</w:t>
      </w:r>
    </w:p>
    <w:p>
      <w:pPr>
        <w:pStyle w:val="Heading2"/>
      </w:pPr>
      <w:r>
        <w:rPr>
          <w:rFonts w:ascii="Aptos Display" w:hAnsi="Aptos Display"/>
          <w:color w:val="6C3DF4"/>
        </w:rPr>
        <w:t>SLX-AUD-03 - Revocable vesting allocations should be transparent and event-driven</w:t>
      </w:r>
    </w:p>
    <w:p>
      <w:r>
        <w:rPr>
          <w:b/>
          <w:color w:val="C09000"/>
        </w:rPr>
        <w:t>Severity: Medium | Status: Review Required</w:t>
      </w:r>
    </w:p>
    <w:p>
      <w:r>
        <w:t>Description: The project documentation indicates 40% of supply is locked across vesting schedules, with advisor and ecosystem allocations marked revocable. This should be clear in the contract events and public documentation.</w:t>
      </w:r>
    </w:p>
    <w:p>
      <w:r>
        <w:t>Impact: Revocable advisor/ecosystem vesting can be legitimate, but unclear revocation powers may create community trust risk and operational ambiguity.</w:t>
      </w:r>
    </w:p>
    <w:p>
      <w:r>
        <w:t>Recommendation: Document the exact revocation authority, conditions and destination of revoked tokens. Ensure VestingRevoked, TokensReleased and BeneficiaryUpdated events exist where applicable.</w:t>
      </w:r>
    </w:p>
    <w:p>
      <w:pPr>
        <w:pStyle w:val="Heading2"/>
      </w:pPr>
      <w:r>
        <w:rPr>
          <w:rFonts w:ascii="Aptos Display" w:hAnsi="Aptos Display"/>
          <w:color w:val="6C3DF4"/>
        </w:rPr>
        <w:t>SLX-AUD-04 - No public evidence of test coverage, invariant testing or deployment reproducibility</w:t>
      </w:r>
    </w:p>
    <w:p>
      <w:r>
        <w:rPr>
          <w:b/>
          <w:color w:val="C09000"/>
        </w:rPr>
        <w:t>Severity: Medium | Status: Open</w:t>
      </w:r>
    </w:p>
    <w:p>
      <w:r>
        <w:t>Description: No test files were identified in the contract repository during this preparation phase. The absence of tests does not prove they do not exist, but it prevents external reviewers from validating behavior.</w:t>
      </w:r>
    </w:p>
    <w:p>
      <w:r>
        <w:t>Impact: Token contracts with taxation and vesting logic depend on correct edge-case handling: transfers, exemptions, pair configuration, vesting cliffs, revoked allocations and owner operations.</w:t>
      </w:r>
    </w:p>
    <w:p>
      <w:r>
        <w:t>Recommendation: Publish a test suite covering transfers, burns, vesting releases, cliff behavior, revocation behavior, tax cap enforcement, zero-address checks, ownership transfer and DEX pair configuration.</w:t>
      </w:r>
    </w:p>
    <w:p>
      <w:pPr>
        <w:pStyle w:val="Heading2"/>
      </w:pPr>
      <w:r>
        <w:rPr>
          <w:rFonts w:ascii="Aptos Display" w:hAnsi="Aptos Display"/>
          <w:color w:val="6C3DF4"/>
        </w:rPr>
        <w:t>SLX-AUD-05 - Project links should be updated from Netlify to GitHub Pages</w:t>
      </w:r>
    </w:p>
    <w:p>
      <w:r>
        <w:rPr>
          <w:b/>
          <w:color w:val="4F81BD"/>
        </w:rPr>
        <w:t>Severity: Low | Status: Open</w:t>
      </w:r>
    </w:p>
    <w:p>
      <w:r>
        <w:t>Description: The contract README references the former Netlify website. The operational site now appears to be the GitHub Pages deployment used by the SpacelonX Journal.</w:t>
      </w:r>
    </w:p>
    <w:p>
      <w:r>
        <w:t>Impact: Outdated links can mislead users and auditors, especially if the primary website has migrated away from Netlify.</w:t>
      </w:r>
    </w:p>
    <w:p>
      <w:r>
        <w:t>Recommendation: Update repository documentation, website footer and official communication channels to consistently point to the current GitHub Pages URL until a custom domain is configured.</w:t>
      </w:r>
    </w:p>
    <w:p>
      <w:pPr>
        <w:pStyle w:val="Heading2"/>
      </w:pPr>
      <w:r>
        <w:rPr>
          <w:rFonts w:ascii="Aptos Display" w:hAnsi="Aptos Display"/>
          <w:color w:val="6C3DF4"/>
        </w:rPr>
        <w:t>SLX-AUD-06 - Testnet-only deployment status must remain explicit</w:t>
      </w:r>
    </w:p>
    <w:p>
      <w:r>
        <w:rPr>
          <w:b/>
          <w:color w:val="6C3DF4"/>
        </w:rPr>
        <w:t>Severity: Informational | Status: Acknowledged</w:t>
      </w:r>
    </w:p>
    <w:p>
      <w:r>
        <w:t>Description: The project currently documents deployment on Polygon Amoy testnet. This is appropriate for testing, but every public page should clearly distinguish testnet from any future mainnet contract.</w:t>
      </w:r>
    </w:p>
    <w:p>
      <w:r>
        <w:t>Impact: Users may incorrectly assume that the token is already deployed on mainnet if testnet status is not clearly communicated.</w:t>
      </w:r>
    </w:p>
    <w:p>
      <w:r>
        <w:t>Recommendation: Keep a single canonical contract-address page. When mainnet is deployed, archive the Amoy address as testnet and display the mainnet address prominently.</w:t>
      </w:r>
    </w:p>
    <w:p>
      <w:pPr>
        <w:pStyle w:val="Heading1"/>
      </w:pPr>
      <w:r>
        <w:rPr>
          <w:rFonts w:ascii="Aptos Display" w:hAnsi="Aptos Display"/>
          <w:color w:val="402A82"/>
        </w:rPr>
        <w:t>Security Review by Risk Domain</w:t>
      </w:r>
    </w:p>
    <w:p>
      <w:r>
        <w:rPr>
          <w:b/>
          <w:color w:val="402A82"/>
        </w:rPr>
        <w:t xml:space="preserve">Supply and minting: </w:t>
      </w:r>
      <w:r>
        <w:t>The fixed-supply model and absence of post-deploy minting are positive controls if implemented exactly as documented. Verify constructor mints only the intended supply and no mint function remains callable after deployment.</w:t>
      </w:r>
    </w:p>
    <w:p>
      <w:r>
        <w:rPr>
          <w:b/>
          <w:color w:val="402A82"/>
        </w:rPr>
        <w:t xml:space="preserve">Tax logic: </w:t>
      </w:r>
      <w:r>
        <w:t>Tax logic is one of the highest complexity areas in memecoin contracts. Review pair detection, tax exemptions, wallet routing, zero-tax edge cases, maximum tax cap and event emission. Confirm tax cannot exceed the documented cap.</w:t>
      </w:r>
    </w:p>
    <w:p>
      <w:r>
        <w:rPr>
          <w:b/>
          <w:color w:val="402A82"/>
        </w:rPr>
        <w:t xml:space="preserve">Ownership and privileged roles: </w:t>
      </w:r>
      <w:r>
        <w:t>Ownable administration must be minimized. A single externally-owned owner key is not recommended for mainnet. Use a multisig and publish operational procedures.</w:t>
      </w:r>
    </w:p>
    <w:p>
      <w:r>
        <w:rPr>
          <w:b/>
          <w:color w:val="402A82"/>
        </w:rPr>
        <w:t xml:space="preserve">Vesting: </w:t>
      </w:r>
      <w:r>
        <w:t>Vesting logic must be carefully tested around cliffs, release rounding, revocation, total vested amount and beneficiary accounting. Tests must cover boundary timestamps.</w:t>
      </w:r>
    </w:p>
    <w:p>
      <w:r>
        <w:rPr>
          <w:b/>
          <w:color w:val="402A82"/>
        </w:rPr>
        <w:t xml:space="preserve">Reentrancy: </w:t>
      </w:r>
      <w:r>
        <w:t>Standard ERC-20 transfers are generally not reentrancy-prone unless external calls, fee routers, DEX interactions or callbacks are introduced. Final source must be reviewed for any external call path.</w:t>
      </w:r>
    </w:p>
    <w:p>
      <w:r>
        <w:rPr>
          <w:b/>
          <w:color w:val="402A82"/>
        </w:rPr>
        <w:t xml:space="preserve">Arithmetic: </w:t>
      </w:r>
      <w:r>
        <w:t>Solidity 0.8+ provides checked arithmetic by default, but percentage calculations, rounding and total-accounting invariants must still be tested.</w:t>
      </w:r>
    </w:p>
    <w:p>
      <w:r>
        <w:rPr>
          <w:b/>
          <w:color w:val="402A82"/>
        </w:rPr>
        <w:t xml:space="preserve">DEX/mainnet launch: </w:t>
      </w:r>
      <w:r>
        <w:t>Before any liquidity pool, verify pair configuration, liquidity lock, tax exclusions, ownership transfer and emergency response. Never reuse testnet addresses as mainnet references.</w:t>
      </w:r>
    </w:p>
    <w:p>
      <w:pPr>
        <w:pStyle w:val="Heading1"/>
      </w:pPr>
      <w:r>
        <w:rPr>
          <w:rFonts w:ascii="Aptos Display" w:hAnsi="Aptos Display"/>
          <w:color w:val="402A82"/>
        </w:rPr>
        <w:t>Recommended Pre-Mainnet Checklist</w:t>
      </w:r>
    </w:p>
    <w:p>
      <w:pPr>
        <w:pStyle w:val="ListBullet"/>
      </w:pPr>
      <w:r>
        <w:t>Publish the full Solidity source tree in the official GitHub contract repository.</w:t>
      </w:r>
    </w:p>
    <w:p>
      <w:pPr>
        <w:pStyle w:val="ListBullet"/>
      </w:pPr>
      <w:r>
        <w:t>Pin exact OpenZeppelin dependency versions and compiler version in package lock files.</w:t>
      </w:r>
    </w:p>
    <w:p>
      <w:pPr>
        <w:pStyle w:val="ListBullet"/>
      </w:pPr>
      <w:r>
        <w:t>Publish deployment scripts and exact constructor arguments.</w:t>
      </w:r>
    </w:p>
    <w:p>
      <w:pPr>
        <w:pStyle w:val="ListBullet"/>
      </w:pPr>
      <w:r>
        <w:t>Run and publish unit-test results and coverage report.</w:t>
      </w:r>
    </w:p>
    <w:p>
      <w:pPr>
        <w:pStyle w:val="ListBullet"/>
      </w:pPr>
      <w:r>
        <w:t>Run Slither static analysis and remediate all High/Medium issues.</w:t>
      </w:r>
    </w:p>
    <w:p>
      <w:pPr>
        <w:pStyle w:val="ListBullet"/>
      </w:pPr>
      <w:r>
        <w:t>Run Mythril/Manticore-style symbolic analysis where practical.</w:t>
      </w:r>
    </w:p>
    <w:p>
      <w:pPr>
        <w:pStyle w:val="ListBullet"/>
      </w:pPr>
      <w:r>
        <w:t>Run Foundry or Hardhat invariant tests for supply, tax cap and vesting accounting.</w:t>
      </w:r>
    </w:p>
    <w:p>
      <w:pPr>
        <w:pStyle w:val="ListBullet"/>
      </w:pPr>
      <w:r>
        <w:t>Deploy to a fresh testnet, verify source, and compare bytecode against build artifacts.</w:t>
      </w:r>
    </w:p>
    <w:p>
      <w:pPr>
        <w:pStyle w:val="ListBullet"/>
      </w:pPr>
      <w:r>
        <w:t>Use a multisig owner before mainnet deployment.</w:t>
      </w:r>
    </w:p>
    <w:p>
      <w:pPr>
        <w:pStyle w:val="ListBullet"/>
      </w:pPr>
      <w:r>
        <w:t>Define tax-change policy and publish governance transparency rules.</w:t>
      </w:r>
    </w:p>
    <w:p>
      <w:pPr>
        <w:pStyle w:val="ListBullet"/>
      </w:pPr>
      <w:r>
        <w:t>Lock liquidity before any public mainnet launch announcement.</w:t>
      </w:r>
    </w:p>
    <w:p>
      <w:pPr>
        <w:pStyle w:val="ListBullet"/>
      </w:pPr>
      <w:r>
        <w:t>Create a canonical contract-address page and warn users against impostor contracts.</w:t>
      </w:r>
    </w:p>
    <w:p>
      <w:pPr>
        <w:pStyle w:val="Heading1"/>
      </w:pPr>
      <w:r>
        <w:rPr>
          <w:rFonts w:ascii="Aptos Display" w:hAnsi="Aptos Display"/>
          <w:color w:val="402A82"/>
        </w:rPr>
        <w:t>Mainnet Readiness Assessment</w:t>
      </w:r>
    </w:p>
    <w:tbl>
      <w:tblPr>
        <w:tblStyle w:val="TableGrid"/>
        <w:tblW w:type="auto" w:w="0"/>
        <w:jc w:val="center"/>
        <w:tblLook w:firstColumn="1" w:firstRow="1" w:lastColumn="0" w:lastRow="0" w:noHBand="0" w:noVBand="1" w:val="04A0"/>
      </w:tblPr>
      <w:tblGrid>
        <w:gridCol w:w="3389"/>
        <w:gridCol w:w="3389"/>
        <w:gridCol w:w="3389"/>
      </w:tblGrid>
      <w:tr>
        <w:tc>
          <w:tcPr>
            <w:tcW w:type="dxa" w:w="2880"/>
            <w:shd w:fill="2D175E"/>
            <w:vAlign w:val="center"/>
            <w:tcMar>
              <w:top w:w="80" w:type="dxa"/>
              <w:start w:w="80" w:type="dxa"/>
              <w:bottom w:w="80" w:type="dxa"/>
              <w:end w:w="80" w:type="dxa"/>
            </w:tcMar>
          </w:tcPr>
          <w:p>
            <w:pPr>
              <w:spacing w:after="0"/>
            </w:pPr>
            <w:r>
              <w:rPr>
                <w:rFonts w:ascii="Aptos" w:hAnsi="Aptos"/>
              </w:rPr>
            </w:r>
            <w:r>
              <w:rPr>
                <w:rFonts w:ascii="Aptos" w:hAnsi="Aptos"/>
                <w:b/>
                <w:color w:val="FFFFFF"/>
                <w:sz w:val="17"/>
              </w:rPr>
              <w:t>Area</w:t>
            </w:r>
          </w:p>
        </w:tc>
        <w:tc>
          <w:tcPr>
            <w:tcW w:type="dxa" w:w="2160"/>
            <w:shd w:fill="2D175E"/>
            <w:vAlign w:val="center"/>
            <w:tcMar>
              <w:top w:w="80" w:type="dxa"/>
              <w:start w:w="80" w:type="dxa"/>
              <w:bottom w:w="80" w:type="dxa"/>
              <w:end w:w="80" w:type="dxa"/>
            </w:tcMar>
          </w:tcPr>
          <w:p>
            <w:pPr>
              <w:spacing w:after="0"/>
            </w:pPr>
            <w:r>
              <w:rPr>
                <w:rFonts w:ascii="Aptos" w:hAnsi="Aptos"/>
              </w:rPr>
            </w:r>
            <w:r>
              <w:rPr>
                <w:rFonts w:ascii="Aptos" w:hAnsi="Aptos"/>
                <w:b/>
                <w:color w:val="FFFFFF"/>
                <w:sz w:val="17"/>
              </w:rPr>
              <w:t>Readiness</w:t>
            </w:r>
          </w:p>
        </w:tc>
        <w:tc>
          <w:tcPr>
            <w:tcW w:type="dxa" w:w="6192"/>
            <w:shd w:fill="2D175E"/>
            <w:vAlign w:val="center"/>
            <w:tcMar>
              <w:top w:w="80" w:type="dxa"/>
              <w:start w:w="80" w:type="dxa"/>
              <w:bottom w:w="80" w:type="dxa"/>
              <w:end w:w="80" w:type="dxa"/>
            </w:tcMar>
          </w:tcPr>
          <w:p>
            <w:pPr>
              <w:spacing w:after="0"/>
            </w:pPr>
            <w:r>
              <w:rPr>
                <w:rFonts w:ascii="Aptos" w:hAnsi="Aptos"/>
              </w:rPr>
            </w:r>
            <w:r>
              <w:rPr>
                <w:rFonts w:ascii="Aptos" w:hAnsi="Aptos"/>
                <w:b/>
                <w:color w:val="FFFFFF"/>
                <w:sz w:val="17"/>
              </w:rPr>
              <w:t>Notes</w:t>
            </w:r>
          </w:p>
        </w:tc>
      </w:tr>
      <w:tr>
        <w:tc>
          <w:tcPr>
            <w:tcW w:type="dxa" w:w="2880"/>
            <w:tcMar>
              <w:top w:w="80" w:type="dxa"/>
              <w:start w:w="80" w:type="dxa"/>
              <w:bottom w:w="80" w:type="dxa"/>
              <w:end w:w="80" w:type="dxa"/>
            </w:tcMar>
            <w:vAlign w:val="top"/>
          </w:tcPr>
          <w:p>
            <w:pPr>
              <w:spacing w:after="0"/>
            </w:pPr>
            <w:r>
              <w:rPr>
                <w:rFonts w:ascii="Aptos" w:hAnsi="Aptos"/>
              </w:rPr>
            </w:r>
            <w:r>
              <w:rPr>
                <w:rFonts w:ascii="Aptos" w:hAnsi="Aptos"/>
                <w:b w:val="0"/>
                <w:sz w:val="16"/>
              </w:rPr>
              <w:t>Contract architecture</w:t>
            </w:r>
          </w:p>
        </w:tc>
        <w:tc>
          <w:tcPr>
            <w:tcW w:type="dxa" w:w="2160"/>
            <w:tcMar>
              <w:top w:w="80" w:type="dxa"/>
              <w:start w:w="80" w:type="dxa"/>
              <w:bottom w:w="80" w:type="dxa"/>
              <w:end w:w="80" w:type="dxa"/>
            </w:tcMar>
            <w:vAlign w:val="top"/>
          </w:tcPr>
          <w:p>
            <w:pPr>
              <w:spacing w:after="0"/>
            </w:pPr>
            <w:r>
              <w:rPr>
                <w:rFonts w:ascii="Aptos" w:hAnsi="Aptos"/>
              </w:rPr>
            </w:r>
            <w:r>
              <w:rPr>
                <w:rFonts w:ascii="Aptos" w:hAnsi="Aptos"/>
                <w:b w:val="0"/>
                <w:sz w:val="16"/>
              </w:rPr>
              <w:t>Moderate</w:t>
            </w:r>
          </w:p>
        </w:tc>
        <w:tc>
          <w:tcPr>
            <w:tcW w:type="dxa" w:w="6192"/>
            <w:tcMar>
              <w:top w:w="80" w:type="dxa"/>
              <w:start w:w="80" w:type="dxa"/>
              <w:bottom w:w="80" w:type="dxa"/>
              <w:end w:w="80" w:type="dxa"/>
            </w:tcMar>
            <w:vAlign w:val="top"/>
          </w:tcPr>
          <w:p>
            <w:pPr>
              <w:spacing w:after="0"/>
            </w:pPr>
            <w:r>
              <w:rPr>
                <w:rFonts w:ascii="Aptos" w:hAnsi="Aptos"/>
              </w:rPr>
            </w:r>
            <w:r>
              <w:rPr>
                <w:rFonts w:ascii="Aptos" w:hAnsi="Aptos"/>
                <w:b w:val="0"/>
                <w:sz w:val="16"/>
              </w:rPr>
              <w:t>ERC-20 + OpenZeppelin foundation is conventional, but final code review is still required.</w:t>
            </w:r>
          </w:p>
        </w:tc>
      </w:tr>
      <w:tr>
        <w:tc>
          <w:tcPr>
            <w:tcW w:type="dxa" w:w="2880"/>
            <w:tcMar>
              <w:top w:w="80" w:type="dxa"/>
              <w:start w:w="80" w:type="dxa"/>
              <w:bottom w:w="80" w:type="dxa"/>
              <w:end w:w="80" w:type="dxa"/>
            </w:tcMar>
            <w:vAlign w:val="top"/>
          </w:tcPr>
          <w:p>
            <w:pPr>
              <w:spacing w:after="0"/>
            </w:pPr>
            <w:r>
              <w:rPr>
                <w:rFonts w:ascii="Aptos" w:hAnsi="Aptos"/>
              </w:rPr>
            </w:r>
            <w:r>
              <w:rPr>
                <w:rFonts w:ascii="Aptos" w:hAnsi="Aptos"/>
                <w:b w:val="0"/>
                <w:sz w:val="16"/>
              </w:rPr>
              <w:t>Documentation</w:t>
            </w:r>
          </w:p>
        </w:tc>
        <w:tc>
          <w:tcPr>
            <w:tcW w:type="dxa" w:w="2160"/>
            <w:tcMar>
              <w:top w:w="80" w:type="dxa"/>
              <w:start w:w="80" w:type="dxa"/>
              <w:bottom w:w="80" w:type="dxa"/>
              <w:end w:w="80" w:type="dxa"/>
            </w:tcMar>
            <w:vAlign w:val="top"/>
          </w:tcPr>
          <w:p>
            <w:pPr>
              <w:spacing w:after="0"/>
            </w:pPr>
            <w:r>
              <w:rPr>
                <w:rFonts w:ascii="Aptos" w:hAnsi="Aptos"/>
              </w:rPr>
            </w:r>
            <w:r>
              <w:rPr>
                <w:rFonts w:ascii="Aptos" w:hAnsi="Aptos"/>
                <w:b w:val="0"/>
                <w:sz w:val="16"/>
              </w:rPr>
              <w:t>Moderate</w:t>
            </w:r>
          </w:p>
        </w:tc>
        <w:tc>
          <w:tcPr>
            <w:tcW w:type="dxa" w:w="6192"/>
            <w:tcMar>
              <w:top w:w="80" w:type="dxa"/>
              <w:start w:w="80" w:type="dxa"/>
              <w:bottom w:w="80" w:type="dxa"/>
              <w:end w:w="80" w:type="dxa"/>
            </w:tcMar>
            <w:vAlign w:val="top"/>
          </w:tcPr>
          <w:p>
            <w:pPr>
              <w:spacing w:after="0"/>
            </w:pPr>
            <w:r>
              <w:rPr>
                <w:rFonts w:ascii="Aptos" w:hAnsi="Aptos"/>
              </w:rPr>
            </w:r>
            <w:r>
              <w:rPr>
                <w:rFonts w:ascii="Aptos" w:hAnsi="Aptos"/>
                <w:b w:val="0"/>
                <w:sz w:val="16"/>
              </w:rPr>
              <w:t>Token parameters and vesting are documented. Official links should be updated.</w:t>
            </w:r>
          </w:p>
        </w:tc>
      </w:tr>
      <w:tr>
        <w:tc>
          <w:tcPr>
            <w:tcW w:type="dxa" w:w="2880"/>
            <w:tcMar>
              <w:top w:w="80" w:type="dxa"/>
              <w:start w:w="80" w:type="dxa"/>
              <w:bottom w:w="80" w:type="dxa"/>
              <w:end w:w="80" w:type="dxa"/>
            </w:tcMar>
            <w:vAlign w:val="top"/>
          </w:tcPr>
          <w:p>
            <w:pPr>
              <w:spacing w:after="0"/>
            </w:pPr>
            <w:r>
              <w:rPr>
                <w:rFonts w:ascii="Aptos" w:hAnsi="Aptos"/>
              </w:rPr>
            </w:r>
            <w:r>
              <w:rPr>
                <w:rFonts w:ascii="Aptos" w:hAnsi="Aptos"/>
                <w:b w:val="0"/>
                <w:sz w:val="16"/>
              </w:rPr>
              <w:t>Security evidence</w:t>
            </w:r>
          </w:p>
        </w:tc>
        <w:tc>
          <w:tcPr>
            <w:tcW w:type="dxa" w:w="2160"/>
            <w:tcMar>
              <w:top w:w="80" w:type="dxa"/>
              <w:start w:w="80" w:type="dxa"/>
              <w:bottom w:w="80" w:type="dxa"/>
              <w:end w:w="80" w:type="dxa"/>
            </w:tcMar>
            <w:vAlign w:val="top"/>
          </w:tcPr>
          <w:p>
            <w:pPr>
              <w:spacing w:after="0"/>
            </w:pPr>
            <w:r>
              <w:rPr>
                <w:rFonts w:ascii="Aptos" w:hAnsi="Aptos"/>
              </w:rPr>
            </w:r>
            <w:r>
              <w:rPr>
                <w:rFonts w:ascii="Aptos" w:hAnsi="Aptos"/>
                <w:b w:val="0"/>
                <w:sz w:val="16"/>
              </w:rPr>
              <w:t>Low to Moderate</w:t>
            </w:r>
          </w:p>
        </w:tc>
        <w:tc>
          <w:tcPr>
            <w:tcW w:type="dxa" w:w="6192"/>
            <w:tcMar>
              <w:top w:w="80" w:type="dxa"/>
              <w:start w:w="80" w:type="dxa"/>
              <w:bottom w:w="80" w:type="dxa"/>
              <w:end w:w="80" w:type="dxa"/>
            </w:tcMar>
            <w:vAlign w:val="top"/>
          </w:tcPr>
          <w:p>
            <w:pPr>
              <w:spacing w:after="0"/>
            </w:pPr>
            <w:r>
              <w:rPr>
                <w:rFonts w:ascii="Aptos" w:hAnsi="Aptos"/>
              </w:rPr>
            </w:r>
            <w:r>
              <w:rPr>
                <w:rFonts w:ascii="Aptos" w:hAnsi="Aptos"/>
                <w:b w:val="0"/>
                <w:sz w:val="16"/>
              </w:rPr>
              <w:t>Repository lacks visible tests/source artifacts in this review context.</w:t>
            </w:r>
          </w:p>
        </w:tc>
      </w:tr>
      <w:tr>
        <w:tc>
          <w:tcPr>
            <w:tcW w:type="dxa" w:w="2880"/>
            <w:tcMar>
              <w:top w:w="80" w:type="dxa"/>
              <w:start w:w="80" w:type="dxa"/>
              <w:bottom w:w="80" w:type="dxa"/>
              <w:end w:w="80" w:type="dxa"/>
            </w:tcMar>
            <w:vAlign w:val="top"/>
          </w:tcPr>
          <w:p>
            <w:pPr>
              <w:spacing w:after="0"/>
            </w:pPr>
            <w:r>
              <w:rPr>
                <w:rFonts w:ascii="Aptos" w:hAnsi="Aptos"/>
              </w:rPr>
            </w:r>
            <w:r>
              <w:rPr>
                <w:rFonts w:ascii="Aptos" w:hAnsi="Aptos"/>
                <w:b w:val="0"/>
                <w:sz w:val="16"/>
              </w:rPr>
              <w:t>Operational controls</w:t>
            </w:r>
          </w:p>
        </w:tc>
        <w:tc>
          <w:tcPr>
            <w:tcW w:type="dxa" w:w="2160"/>
            <w:tcMar>
              <w:top w:w="80" w:type="dxa"/>
              <w:start w:w="80" w:type="dxa"/>
              <w:bottom w:w="80" w:type="dxa"/>
              <w:end w:w="80" w:type="dxa"/>
            </w:tcMar>
            <w:vAlign w:val="top"/>
          </w:tcPr>
          <w:p>
            <w:pPr>
              <w:spacing w:after="0"/>
            </w:pPr>
            <w:r>
              <w:rPr>
                <w:rFonts w:ascii="Aptos" w:hAnsi="Aptos"/>
              </w:rPr>
            </w:r>
            <w:r>
              <w:rPr>
                <w:rFonts w:ascii="Aptos" w:hAnsi="Aptos"/>
                <w:b w:val="0"/>
                <w:sz w:val="16"/>
              </w:rPr>
              <w:t>Pending</w:t>
            </w:r>
          </w:p>
        </w:tc>
        <w:tc>
          <w:tcPr>
            <w:tcW w:type="dxa" w:w="6192"/>
            <w:tcMar>
              <w:top w:w="80" w:type="dxa"/>
              <w:start w:w="80" w:type="dxa"/>
              <w:bottom w:w="80" w:type="dxa"/>
              <w:end w:w="80" w:type="dxa"/>
            </w:tcMar>
            <w:vAlign w:val="top"/>
          </w:tcPr>
          <w:p>
            <w:pPr>
              <w:spacing w:after="0"/>
            </w:pPr>
            <w:r>
              <w:rPr>
                <w:rFonts w:ascii="Aptos" w:hAnsi="Aptos"/>
              </w:rPr>
            </w:r>
            <w:r>
              <w:rPr>
                <w:rFonts w:ascii="Aptos" w:hAnsi="Aptos"/>
                <w:b w:val="0"/>
                <w:sz w:val="16"/>
              </w:rPr>
              <w:t>Multisig, tax-change policy and liquidity lock evidence should be produced.</w:t>
            </w:r>
          </w:p>
        </w:tc>
      </w:tr>
      <w:tr>
        <w:tc>
          <w:tcPr>
            <w:tcW w:type="dxa" w:w="2880"/>
            <w:tcMar>
              <w:top w:w="80" w:type="dxa"/>
              <w:start w:w="80" w:type="dxa"/>
              <w:bottom w:w="80" w:type="dxa"/>
              <w:end w:w="80" w:type="dxa"/>
            </w:tcMar>
            <w:vAlign w:val="top"/>
          </w:tcPr>
          <w:p>
            <w:pPr>
              <w:spacing w:after="0"/>
            </w:pPr>
            <w:r>
              <w:rPr>
                <w:rFonts w:ascii="Aptos" w:hAnsi="Aptos"/>
              </w:rPr>
            </w:r>
            <w:r>
              <w:rPr>
                <w:rFonts w:ascii="Aptos" w:hAnsi="Aptos"/>
                <w:b w:val="0"/>
                <w:sz w:val="16"/>
              </w:rPr>
              <w:t>Community transparency</w:t>
            </w:r>
          </w:p>
        </w:tc>
        <w:tc>
          <w:tcPr>
            <w:tcW w:type="dxa" w:w="2160"/>
            <w:tcMar>
              <w:top w:w="80" w:type="dxa"/>
              <w:start w:w="80" w:type="dxa"/>
              <w:bottom w:w="80" w:type="dxa"/>
              <w:end w:w="80" w:type="dxa"/>
            </w:tcMar>
            <w:vAlign w:val="top"/>
          </w:tcPr>
          <w:p>
            <w:pPr>
              <w:spacing w:after="0"/>
            </w:pPr>
            <w:r>
              <w:rPr>
                <w:rFonts w:ascii="Aptos" w:hAnsi="Aptos"/>
              </w:rPr>
            </w:r>
            <w:r>
              <w:rPr>
                <w:rFonts w:ascii="Aptos" w:hAnsi="Aptos"/>
                <w:b w:val="0"/>
                <w:sz w:val="16"/>
              </w:rPr>
              <w:t>Moderate</w:t>
            </w:r>
          </w:p>
        </w:tc>
        <w:tc>
          <w:tcPr>
            <w:tcW w:type="dxa" w:w="6192"/>
            <w:tcMar>
              <w:top w:w="80" w:type="dxa"/>
              <w:start w:w="80" w:type="dxa"/>
              <w:bottom w:w="80" w:type="dxa"/>
              <w:end w:w="80" w:type="dxa"/>
            </w:tcMar>
            <w:vAlign w:val="top"/>
          </w:tcPr>
          <w:p>
            <w:pPr>
              <w:spacing w:after="0"/>
            </w:pPr>
            <w:r>
              <w:rPr>
                <w:rFonts w:ascii="Aptos" w:hAnsi="Aptos"/>
              </w:rPr>
            </w:r>
            <w:r>
              <w:rPr>
                <w:rFonts w:ascii="Aptos" w:hAnsi="Aptos"/>
                <w:b w:val="0"/>
                <w:sz w:val="16"/>
              </w:rPr>
              <w:t>Website, Journal, X and Telegram are operational; contract address clarity must be maintained.</w:t>
            </w:r>
          </w:p>
        </w:tc>
      </w:tr>
    </w:tbl>
    <w:p>
      <w:pPr>
        <w:pStyle w:val="Heading1"/>
      </w:pPr>
      <w:r>
        <w:rPr>
          <w:rFonts w:ascii="Aptos Display" w:hAnsi="Aptos Display"/>
          <w:color w:val="402A82"/>
        </w:rPr>
        <w:t>Conclusion</w:t>
      </w:r>
    </w:p>
    <w:p>
      <w:r>
        <w:t>The documented SLX design does not reveal an obvious fatal architectural flaw at the documentation-review level. Fixed supply, no mint after deploy, OpenZeppelin v5 usage, tax caps and vesting schedules are positive design signals.</w:t>
      </w:r>
    </w:p>
    <w:p>
      <w:r>
        <w:t>However, this report should be treated as a preliminary audit report, not a final security certification. The main unresolved issue is evidence: a complete source tree, tests, deployment reproducibility and static-analysis outputs must be published before a mainnet launch.</w:t>
      </w:r>
    </w:p>
    <w:p>
      <w:r>
        <w:t>The most important next step is to perform a full source-code audit on the verified Solidity contract, reconcile it with the GitHub repository, test tax and vesting edge cases, and move administrative control to a multisig before any production deployment.</w:t>
      </w:r>
    </w:p>
    <w:p>
      <w:pPr>
        <w:pStyle w:val="Heading1"/>
      </w:pPr>
      <w:r>
        <w:rPr>
          <w:rFonts w:ascii="Aptos Display" w:hAnsi="Aptos Display"/>
          <w:color w:val="402A82"/>
        </w:rPr>
        <w:t>References</w:t>
      </w:r>
    </w:p>
    <w:p>
      <w:pPr>
        <w:pStyle w:val="ListBullet"/>
      </w:pPr>
      <w:r>
        <w:t xml:space="preserve">SpacelonX contract repository: </w:t>
      </w:r>
      <w:hyperlink r:id="rId11">
        <w:r>
          <w:rPr>
            <w:color w:val="6C3DF4"/>
            <w:u w:val="single"/>
          </w:rPr>
          <w:t>https://github.com/silversurfer239/spacelonx-contract</w:t>
        </w:r>
      </w:hyperlink>
    </w:p>
    <w:p>
      <w:pPr>
        <w:pStyle w:val="ListBullet"/>
      </w:pPr>
      <w:r>
        <w:t xml:space="preserve">Polygon Amoy verified contract page: </w:t>
      </w:r>
      <w:hyperlink r:id="rId12">
        <w:r>
          <w:rPr>
            <w:color w:val="6C3DF4"/>
            <w:u w:val="single"/>
          </w:rPr>
          <w:t>https://amoy.polygonscan.com/address/0xDBF17Cc980Ae4f7db5119e8C9c3E2AD53023aC9E</w:t>
        </w:r>
      </w:hyperlink>
    </w:p>
    <w:p>
      <w:pPr>
        <w:pStyle w:val="ListBullet"/>
      </w:pPr>
      <w:r>
        <w:t xml:space="preserve">OpenZeppelin Contracts documentation: </w:t>
      </w:r>
      <w:hyperlink r:id="rId13">
        <w:r>
          <w:rPr>
            <w:color w:val="6C3DF4"/>
            <w:u w:val="single"/>
          </w:rPr>
          <w:t>https://docs.openzeppelin.com/contracts/</w:t>
        </w:r>
      </w:hyperlink>
    </w:p>
    <w:p>
      <w:pPr>
        <w:pStyle w:val="ListBullet"/>
      </w:pPr>
      <w:r>
        <w:t xml:space="preserve">Solidity Security Considerations: </w:t>
      </w:r>
      <w:hyperlink r:id="rId14">
        <w:r>
          <w:rPr>
            <w:color w:val="6C3DF4"/>
            <w:u w:val="single"/>
          </w:rPr>
          <w:t>https://docs.soliditylang.org/en/latest/security-considerations.html</w:t>
        </w:r>
      </w:hyperlink>
    </w:p>
    <w:p>
      <w:pPr>
        <w:pStyle w:val="ListBullet"/>
      </w:pPr>
      <w:r>
        <w:t xml:space="preserve">OWASP Smart Contract Top 10: </w:t>
      </w:r>
      <w:hyperlink r:id="rId15">
        <w:r>
          <w:rPr>
            <w:color w:val="6C3DF4"/>
            <w:u w:val="single"/>
          </w:rPr>
          <w:t>https://owasp.org/www-project-smart-contract-top-10/</w:t>
        </w:r>
      </w:hyperlink>
    </w:p>
    <w:p>
      <w:pPr>
        <w:pStyle w:val="Heading1"/>
      </w:pPr>
      <w:r>
        <w:rPr>
          <w:rFonts w:ascii="Aptos Display" w:hAnsi="Aptos Display"/>
          <w:color w:val="402A82"/>
        </w:rPr>
        <w:t>Audit Disclaimer</w:t>
      </w:r>
    </w:p>
    <w:p>
      <w:r>
        <w:t>This document is not financial advice, legal advice, investment advice or a guarantee of security. Smart contract risk cannot be fully eliminated. The absence of a finding in this report does not mean the absence of vulnerabilities. A final production audit requires full source-code review, test execution, bytecode verification and mainnet deployment review.</w:t>
      </w:r>
    </w:p>
    <w:sectPr w:rsidR="00FC693F" w:rsidRPr="0006063C" w:rsidSect="00034616">
      <w:headerReference w:type="default" r:id="rId9"/>
      <w:footerReference w:type="default" r:id="rId10"/>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87882"/>
        <w:sz w:val="15"/>
      </w:rPr>
      <w:t>Confidential technical report - preliminary audit scope - not financial advice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A5073"/>
        <w:sz w:val="16"/>
      </w:rPr>
      <w:t>SpacelonX (SLX) - Smart Contract Audit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github.com/silversurfer239/spacelonx-contract" TargetMode="External"/><Relationship Id="rId12" Type="http://schemas.openxmlformats.org/officeDocument/2006/relationships/hyperlink" Target="https://amoy.polygonscan.com/address/0xDBF17Cc980Ae4f7db5119e8C9c3E2AD53023aC9E" TargetMode="External"/><Relationship Id="rId13" Type="http://schemas.openxmlformats.org/officeDocument/2006/relationships/hyperlink" Target="https://docs.openzeppelin.com/contracts/" TargetMode="External"/><Relationship Id="rId14" Type="http://schemas.openxmlformats.org/officeDocument/2006/relationships/hyperlink" Target="https://docs.soliditylang.org/en/latest/security-considerations.html" TargetMode="External"/><Relationship Id="rId15" Type="http://schemas.openxmlformats.org/officeDocument/2006/relationships/hyperlink" Target="https://owasp.org/www-project-smart-contract-top-1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