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Label"/>
        <w:jc w:val="center"/>
      </w:pPr>
      <w:r>
        <w:t>SPACELONX ECOSYSTEM</w:t>
      </w:r>
    </w:p>
    <w:p>
      <w:pPr>
        <w:jc w:val="center"/>
      </w:pPr>
      <w:r>
        <w:rPr>
          <w:rFonts w:ascii="Aptos Display" w:hAnsi="Aptos Display"/>
          <w:b/>
          <w:color w:val="6C3DF4"/>
          <w:sz w:val="68"/>
        </w:rPr>
        <w:t>SpacelonX ($SLX)</w:t>
      </w:r>
    </w:p>
    <w:p>
      <w:pPr>
        <w:jc w:val="center"/>
      </w:pPr>
      <w:r>
        <w:rPr>
          <w:b/>
          <w:color w:val="1E1A2A"/>
          <w:sz w:val="36"/>
        </w:rPr>
        <w:t>Whitepaper v1.0</w:t>
      </w:r>
    </w:p>
    <w:p>
      <w:pPr>
        <w:pStyle w:val="SubtitleCustom"/>
        <w:jc w:val="center"/>
      </w:pPr>
      <w:r>
        <w:t>A community-driven space-tech and blockchain narrative exploring the future of orbital commerce, AI-enabled infrastructure, and decentralized payment systems for a multi-planetary economy.</w:t>
      </w:r>
    </w:p>
    <w:tbl>
      <w:tblPr>
        <w:tblW w:type="auto" w:w="0"/>
        <w:jc w:val="center"/>
        <w:tblLook w:firstColumn="1" w:firstRow="1" w:lastColumn="0" w:lastRow="0" w:noHBand="0" w:noVBand="1" w:val="04A0"/>
      </w:tblPr>
      <w:tblGrid>
        <w:gridCol w:w="9936"/>
      </w:tblGrid>
      <w:tr>
        <w:tc>
          <w:tcPr>
            <w:tcW w:type="dxa" w:w="9936"/>
            <w:shd w:fill="F4F0FF"/>
            <w:tcBorders>
              <w:top w:sz="8" w:val="single" w:color="6C3DF4"/>
              <w:left w:sz="8" w:val="single" w:color="6C3DF4"/>
              <w:bottom w:sz="8" w:val="single" w:color="6C3DF4"/>
              <w:right w:sz="8" w:val="single" w:color="6C3DF4"/>
            </w:tcBorders>
          </w:tcPr>
          <w:p>
            <w:pPr>
              <w:jc w:val="center"/>
            </w:pPr>
            <w:r/>
            <w:r>
              <w:rPr>
                <w:b/>
              </w:rPr>
              <w:t xml:space="preserve">Website: </w:t>
            </w:r>
            <w:hyperlink r:id="rId11">
              <w:r>
                <w:rPr>
                  <w:color w:val="6C3DF4"/>
                  <w:u w:val="single"/>
                </w:rPr>
                <w:t>https://silversurfer239.github.io/spacelonx-site/</w:t>
              </w:r>
            </w:hyperlink>
          </w:p>
          <w:p>
            <w:pPr>
              <w:jc w:val="center"/>
            </w:pPr>
            <w:r>
              <w:rPr>
                <w:b/>
              </w:rPr>
              <w:t>X/Twitter: @spacelonxslx  |  Telegram: SpacelonX Community</w:t>
            </w:r>
          </w:p>
          <w:p>
            <w:pPr>
              <w:jc w:val="center"/>
            </w:pPr>
            <w:r>
              <w:rPr>
                <w:i/>
              </w:rPr>
              <w:t>Current technical status: Polygon Amoy testnet deployment and community-building phase</w:t>
            </w:r>
          </w:p>
        </w:tc>
      </w:tr>
    </w:tbl>
    <w:p/>
    <w:p/>
    <w:p>
      <w:pPr>
        <w:pStyle w:val="SmallNote"/>
        <w:jc w:val="center"/>
      </w:pPr>
      <w:r>
        <w:t>Important notice: This document is not financial advice, not an investment solicitation, and not a promise of future value, revenue, listing, exchange access, or token performance. SpacelonX is a parody/community project and is not affiliated with Elon Musk, SpaceX, Tesla, X Corp., NASA, or any aerospace organization unless explicitly stated in a formal partnership announcement.</w:t>
      </w:r>
    </w:p>
    <w:p>
      <w:r>
        <w:br w:type="page"/>
      </w:r>
    </w:p>
    <w:p>
      <w:pPr>
        <w:pStyle w:val="Heading1"/>
        <w:keepNext/>
      </w:pPr>
      <w:r>
        <w:t>Table of Contents</w:t>
      </w:r>
    </w:p>
    <w:p>
      <w:pPr>
        <w:pStyle w:val="ListNumber"/>
      </w:pPr>
      <w:r>
        <w:t>Executive Summary</w:t>
      </w:r>
    </w:p>
    <w:p>
      <w:pPr>
        <w:pStyle w:val="ListNumber"/>
      </w:pPr>
      <w:r>
        <w:t>Vision and Narrative</w:t>
      </w:r>
    </w:p>
    <w:p>
      <w:pPr>
        <w:pStyle w:val="ListNumber"/>
      </w:pPr>
      <w:r>
        <w:t>Market Context: The New Space Economy</w:t>
      </w:r>
    </w:p>
    <w:p>
      <w:pPr>
        <w:pStyle w:val="ListNumber"/>
      </w:pPr>
      <w:r>
        <w:t>Why Blockchain Could Matter in Space</w:t>
      </w:r>
    </w:p>
    <w:p>
      <w:pPr>
        <w:pStyle w:val="ListNumber"/>
      </w:pPr>
      <w:r>
        <w:t>The SpacelonX Ecosystem</w:t>
      </w:r>
    </w:p>
    <w:p>
      <w:pPr>
        <w:pStyle w:val="ListNumber"/>
      </w:pPr>
      <w:r>
        <w:t>Technical Architecture and Current Status</w:t>
      </w:r>
    </w:p>
    <w:p>
      <w:pPr>
        <w:pStyle w:val="ListNumber"/>
      </w:pPr>
      <w:r>
        <w:t>Token Concept: SLX</w:t>
      </w:r>
    </w:p>
    <w:p>
      <w:pPr>
        <w:pStyle w:val="ListNumber"/>
      </w:pPr>
      <w:r>
        <w:t>Use Cases and Product Directions</w:t>
      </w:r>
    </w:p>
    <w:p>
      <w:pPr>
        <w:pStyle w:val="ListNumber"/>
      </w:pPr>
      <w:r>
        <w:t>Community, Media, and Growth Engine</w:t>
      </w:r>
    </w:p>
    <w:p>
      <w:pPr>
        <w:pStyle w:val="ListNumber"/>
      </w:pPr>
      <w:r>
        <w:t>Roadmap</w:t>
      </w:r>
    </w:p>
    <w:p>
      <w:pPr>
        <w:pStyle w:val="ListNumber"/>
      </w:pPr>
      <w:r>
        <w:t>Governance and Compliance Principles</w:t>
      </w:r>
    </w:p>
    <w:p>
      <w:pPr>
        <w:pStyle w:val="ListNumber"/>
      </w:pPr>
      <w:r>
        <w:t>Risk Factors and Disclaimers</w:t>
      </w:r>
    </w:p>
    <w:p>
      <w:pPr>
        <w:pStyle w:val="ListNumber"/>
      </w:pPr>
      <w:r>
        <w:t>Appendix A - Glossary</w:t>
      </w:r>
    </w:p>
    <w:p>
      <w:pPr>
        <w:pStyle w:val="Heading1"/>
        <w:keepNext/>
      </w:pPr>
      <w:r>
        <w:t>1. Executive Summary</w:t>
      </w:r>
    </w:p>
    <w:p>
      <w:r>
        <w:t>SpacelonX ($SLX) is a community-driven crypto and media ecosystem built around one central narrative: the future economy will not stop at Earth. As satellite networks, autonomous logistics, lunar programs, Mars concepts, AI-driven operations, and orbital infrastructure expand, new financial rails may be required to coordinate machine-to-machine payments, cross-border settlement, data markets, and eventually off-world commerce.</w:t>
      </w:r>
    </w:p>
    <w:p>
      <w:r>
        <w:t>SLX is positioned as a symbolic and experimental token narrative at the intersection of space culture, blockchain infrastructure, artificial intelligence, and future payment systems. Its purpose is not to claim that interplanetary payments exist today, but to create a credible, educational, and community-oriented ecosystem around the question: what kind of financial infrastructure could support a spacefaring civilization?</w:t>
      </w:r>
    </w:p>
    <w:p>
      <w:r>
        <w:t>The project currently operates in a community-building and testnet phase, with a verified deployment on Polygon Amoy testnet. This whitepaper presents the project narrative, technical direction, ecosystem components, token concept, risk framework, and roadmap. It should be read as a strategic and educational document, not as an investment prospectus.</w:t>
      </w:r>
    </w:p>
    <w:p>
      <w:pPr>
        <w:pStyle w:val="Heading2"/>
        <w:keepNext/>
      </w:pPr>
      <w:r>
        <w:t>Core Thesis</w:t>
      </w:r>
    </w:p>
    <w:p>
      <w:r>
        <w:t>The rise of the space economy could generate a new class of coordination problems: automated settlement between satellites, decentralized identity for autonomous agents, payment infrastructure for remote robotic systems, tokenized access to data streams, and accounting layers for multi-jurisdictional operations. Blockchain networks are not a universal solution, but they offer design patterns that may become relevant in such environments: auditability, programmability, global settlement, cryptographic identity, and composability.</w:t>
      </w:r>
    </w:p>
    <w:p>
      <w:pPr>
        <w:pStyle w:val="Heading1"/>
        <w:keepNext/>
      </w:pPr>
      <w:r>
        <w:t>2. Vision and Narrative</w:t>
      </w:r>
    </w:p>
    <w:p>
      <w:r>
        <w:t>SpacelonX begins from a simple idea: if humanity expands economically beyond Earth, payments and coordination will need to evolve. The current financial system is built for terrestrial institutions, national jurisdictions, and human-operated processes. A future space economy may require systems that are more automated, more programmable, and more interoperable.</w:t>
      </w:r>
    </w:p>
    <w:p>
      <w:r>
        <w:t>The SpacelonX narrative combines three converging forces: space infrastructure, artificial intelligence, and blockchain technology. Space infrastructure provides the frontier. AI provides autonomy and decision-making. Blockchain provides a programmable settlement and coordination layer.</w:t>
      </w:r>
    </w:p>
    <w:p>
      <w:pPr>
        <w:pStyle w:val="Heading2"/>
        <w:keepNext/>
      </w:pPr>
      <w:r>
        <w:t>Mission Statement</w:t>
      </w:r>
    </w:p>
    <w:p>
      <w:r>
        <w:t>To build a recognizable community and digital ecosystem around the future of space commerce, decentralized finance, and AI-enabled infrastructure, using SLX as the cultural and symbolic token of this narrative.</w:t>
      </w:r>
    </w:p>
    <w:p>
      <w:pPr>
        <w:pStyle w:val="Heading2"/>
        <w:keepNext/>
      </w:pPr>
      <w:r>
        <w:t>Positioning Principles</w:t>
      </w:r>
    </w:p>
    <w:p>
      <w:pPr>
        <w:pStyle w:val="ListBullet"/>
      </w:pPr>
      <w:r>
        <w:t>Visionary but responsible: the project discusses future possibilities without promising financial returns.</w:t>
      </w:r>
    </w:p>
    <w:p>
      <w:pPr>
        <w:pStyle w:val="ListBullet"/>
      </w:pPr>
      <w:r>
        <w:t>Educational and editorial: SpacelonX produces content explaining the intersection of space, AI, blockchain, and payments.</w:t>
      </w:r>
    </w:p>
    <w:p>
      <w:pPr>
        <w:pStyle w:val="ListBullet"/>
      </w:pPr>
      <w:r>
        <w:t>Community-first: the initial phase prioritizes public visibility, trust, content, and community engagement.</w:t>
      </w:r>
    </w:p>
    <w:p>
      <w:pPr>
        <w:pStyle w:val="ListBullet"/>
      </w:pPr>
      <w:r>
        <w:t>Transparent status: mainnet, liquidity, listings, utility modules, and partnerships should only be announced when they are real and verifiable.</w:t>
      </w:r>
    </w:p>
    <w:p>
      <w:pPr>
        <w:pStyle w:val="Heading1"/>
        <w:keepNext/>
      </w:pPr>
      <w:r>
        <w:t>3. Market Context: The New Space Economy</w:t>
      </w:r>
    </w:p>
    <w:p>
      <w:r>
        <w:t>The space sector is no longer limited to state exploration programs. It increasingly includes commercial launch providers, satellite constellations, Earth observation services, communications infrastructure, robotics, space manufacturing concepts, lunar logistics, and data-driven applications. This expansion can be described as the new space economy.</w:t>
      </w:r>
    </w:p>
    <w:p>
      <w:r>
        <w:t>The new space economy is data-intensive, capital-intensive, and automation-intensive. Satellites generate continuous data streams. Robotics and AI systems can operate in environments where human intervention is delayed or impossible. Multiple private and public actors may need to coordinate across jurisdictions and infrastructure layers.</w:t>
      </w:r>
    </w:p>
    <w:p>
      <w:pPr>
        <w:pStyle w:val="Heading2"/>
        <w:keepNext/>
      </w:pPr>
      <w:r>
        <w:t>Economic Coordination Challenges</w:t>
      </w:r>
    </w:p>
    <w:p>
      <w:pPr>
        <w:pStyle w:val="ListBullet"/>
      </w:pPr>
      <w:r>
        <w:t>Settlement latency: future space operations may require automated payment or accounting systems that function across distance and time delay.</w:t>
      </w:r>
    </w:p>
    <w:p>
      <w:pPr>
        <w:pStyle w:val="ListBullet"/>
      </w:pPr>
      <w:r>
        <w:t>Multi-party infrastructure: satellites, ground stations, data processors, insurers, logistics providers, and service marketplaces may need shared settlement rules.</w:t>
      </w:r>
    </w:p>
    <w:p>
      <w:pPr>
        <w:pStyle w:val="ListBullet"/>
      </w:pPr>
      <w:r>
        <w:t>Machine-to-machine commerce: autonomous systems could require programmable spending limits, identity, permissions, and verifiable transactions.</w:t>
      </w:r>
    </w:p>
    <w:p>
      <w:pPr>
        <w:pStyle w:val="ListBullet"/>
      </w:pPr>
      <w:r>
        <w:t>Data ownership and monetization: satellite data, telemetry, and model outputs may become tokenized or metered digital assets.</w:t>
      </w:r>
    </w:p>
    <w:p>
      <w:pPr>
        <w:pStyle w:val="ListBullet"/>
      </w:pPr>
      <w:r>
        <w:t>Jurisdictional complexity: cross-border operations already create coordination costs; orbital and off-world operations may amplify them.</w:t>
      </w:r>
    </w:p>
    <w:p>
      <w:pPr>
        <w:pStyle w:val="Heading1"/>
        <w:keepNext/>
      </w:pPr>
      <w:r>
        <w:t>4. Why Blockchain Could Matter in Space</w:t>
      </w:r>
    </w:p>
    <w:p>
      <w:r>
        <w:t>Blockchain should not be presented as a magic solution for aerospace. Space systems require reliability, security, redundancy, low-latency engineering where possible, and regulatory compliance. However, blockchain can introduce useful primitives for economic coordination.</w:t>
      </w:r>
    </w:p>
    <w:p>
      <w:pPr>
        <w:pStyle w:val="Heading2"/>
        <w:keepNext/>
      </w:pPr>
      <w:r>
        <w:t>Relevant Blockchain Primitives</w:t>
      </w:r>
    </w:p>
    <w:p>
      <w:pPr>
        <w:pStyle w:val="ListBullet"/>
      </w:pPr>
      <w:r>
        <w:t>Programmable settlement: smart contracts can encode conditional logic for payments, escrow, revenue sharing, and access control.</w:t>
      </w:r>
    </w:p>
    <w:p>
      <w:pPr>
        <w:pStyle w:val="ListBullet"/>
      </w:pPr>
      <w:r>
        <w:t>Verifiable records: public or permissioned ledgers can provide transparent audit trails for transactions and digital asset transfers.</w:t>
      </w:r>
    </w:p>
    <w:p>
      <w:pPr>
        <w:pStyle w:val="ListBullet"/>
      </w:pPr>
      <w:r>
        <w:t>Digital identity: cryptographic keys can identify agents, devices, wallets, applications, or organizations.</w:t>
      </w:r>
    </w:p>
    <w:p>
      <w:pPr>
        <w:pStyle w:val="ListBullet"/>
      </w:pPr>
      <w:r>
        <w:t>Composable financial infrastructure: decentralized protocols can connect payment, lending, insurance, staking, and marketplace functions.</w:t>
      </w:r>
    </w:p>
    <w:p>
      <w:pPr>
        <w:pStyle w:val="ListBullet"/>
      </w:pPr>
      <w:r>
        <w:t>Tokenized access: tokens can represent access rights, membership, utility credits, data licenses, or governance participation, subject to legal constraints.</w:t>
      </w:r>
    </w:p>
    <w:p>
      <w:pPr>
        <w:pStyle w:val="Heading2"/>
        <w:keepNext/>
      </w:pPr>
      <w:r>
        <w:t>Interplanetary Payments: A Long-Term Concept</w:t>
      </w:r>
    </w:p>
    <w:p>
      <w:r>
        <w:t>Interplanetary payments are not a current commercial reality. They are a long-term concept used by SpacelonX to frame research, community education, and speculative infrastructure design. The phrase describes a future where economic actors beyond Earth may need settlement systems that do not rely entirely on local banking rails. In this narrative, SLX is presented as a cultural and experimental token inspired by that future, not as a guaranteed infrastructure standard.</w:t>
      </w:r>
    </w:p>
    <w:p>
      <w:pPr>
        <w:pStyle w:val="Heading1"/>
        <w:keepNext/>
      </w:pPr>
      <w:r>
        <w:t>5. The SpacelonX Ecosystem</w:t>
      </w:r>
    </w:p>
    <w:p>
      <w:r>
        <w:t>The SpacelonX ecosystem is composed of four initial layers: the token narrative, the website and Journal, the social community, and the automation layer known internally as Jarvis Media Spatial.</w:t>
      </w:r>
    </w:p>
    <w:p>
      <w:pPr>
        <w:pStyle w:val="Heading2"/>
        <w:keepNext/>
      </w:pPr>
      <w:r>
        <w:t>Ecosystem Components</w:t>
      </w:r>
    </w:p>
    <w:p>
      <w:pPr>
        <w:pStyle w:val="ListBullet"/>
      </w:pPr>
      <w:r>
        <w:t>SLX Token: the symbolic digital asset of the SpacelonX community and its future payment narrative.</w:t>
      </w:r>
    </w:p>
    <w:p>
      <w:pPr>
        <w:pStyle w:val="ListBullet"/>
      </w:pPr>
      <w:r>
        <w:t>SpacelonX Website: the public information hub presenting the project, roadmap, contract status, links, and disclaimers.</w:t>
      </w:r>
    </w:p>
    <w:p>
      <w:pPr>
        <w:pStyle w:val="ListBullet"/>
      </w:pPr>
      <w:r>
        <w:t>SpacelonX Journal: a media and SEO engine publishing articles about space economy, AI, blockchain, and interplanetary commerce.</w:t>
      </w:r>
    </w:p>
    <w:p>
      <w:pPr>
        <w:pStyle w:val="ListBullet"/>
      </w:pPr>
      <w:r>
        <w:t>Telegram Community: the main community discussion environment, supported by a dedicated bot for project questions.</w:t>
      </w:r>
    </w:p>
    <w:p>
      <w:pPr>
        <w:pStyle w:val="ListBullet"/>
      </w:pPr>
      <w:r>
        <w:t>X/Twitter Presence: public narrative distribution, article promotion, and community growth channel.</w:t>
      </w:r>
    </w:p>
    <w:p>
      <w:pPr>
        <w:pStyle w:val="ListBullet"/>
      </w:pPr>
      <w:r>
        <w:t>Jarvis Media Spatial: the automated publishing pipeline that generates, publishes, and distributes content across the ecosystem.</w:t>
      </w:r>
    </w:p>
    <w:p>
      <w:pPr>
        <w:pStyle w:val="Heading2"/>
        <w:keepNext/>
      </w:pPr>
      <w:r>
        <w:t>Ecosystem Snapshot</w:t>
      </w:r>
    </w:p>
    <w:tbl>
      <w:tblPr>
        <w:tblStyle w:val="TableGrid"/>
        <w:tblW w:type="auto" w:w="0"/>
        <w:jc w:val="center"/>
        <w:tblLook w:firstColumn="1" w:firstRow="1" w:lastColumn="0" w:lastRow="0" w:noHBand="0" w:noVBand="1" w:val="04A0"/>
      </w:tblPr>
      <w:tblGrid>
        <w:gridCol w:w="4968"/>
        <w:gridCol w:w="4968"/>
      </w:tblGrid>
      <w:tr>
        <w:tc>
          <w:tcPr>
            <w:tcW w:type="dxa" w:w="4968"/>
            <w:shd w:fill="EFE9FF"/>
            <w:tcBorders>
              <w:top w:sz="4" w:val="single" w:color="D9D2F2"/>
              <w:left w:sz="4" w:val="single" w:color="D9D2F2"/>
              <w:bottom w:sz="4" w:val="single" w:color="D9D2F2"/>
              <w:right w:sz="4" w:val="single" w:color="D9D2F2"/>
            </w:tcBorders>
          </w:tcPr>
          <w:p>
            <w:r>
              <w:rPr>
                <w:sz w:val="18"/>
              </w:rPr>
              <w:t>Field</w:t>
            </w:r>
          </w:p>
        </w:tc>
        <w:tc>
          <w:tcPr>
            <w:tcW w:type="dxa" w:w="4968"/>
            <w:shd w:fill="EFE9FF"/>
            <w:tcBorders>
              <w:top w:sz="4" w:val="single" w:color="D9D2F2"/>
              <w:left w:sz="4" w:val="single" w:color="D9D2F2"/>
              <w:bottom w:sz="4" w:val="single" w:color="D9D2F2"/>
              <w:right w:sz="4" w:val="single" w:color="D9D2F2"/>
            </w:tcBorders>
          </w:tcPr>
          <w:p>
            <w:r>
              <w:rPr>
                <w:sz w:val="18"/>
              </w:rPr>
              <w:t>Description</w:t>
            </w:r>
          </w:p>
        </w:tc>
      </w:tr>
      <w:tr>
        <w:tc>
          <w:tcPr>
            <w:tcW w:type="dxa" w:w="4968"/>
            <w:vAlign w:val="top"/>
            <w:tcBorders>
              <w:top w:sz="4" w:val="single" w:color="D9D2F2"/>
              <w:left w:sz="4" w:val="single" w:color="D9D2F2"/>
              <w:bottom w:sz="4" w:val="single" w:color="D9D2F2"/>
              <w:right w:sz="4" w:val="single" w:color="D9D2F2"/>
            </w:tcBorders>
          </w:tcPr>
          <w:p>
            <w:r>
              <w:rPr>
                <w:sz w:val="18"/>
              </w:rPr>
              <w:t>Website</w:t>
            </w:r>
          </w:p>
        </w:tc>
        <w:tc>
          <w:tcPr>
            <w:tcW w:type="dxa" w:w="4968"/>
            <w:vAlign w:val="top"/>
            <w:tcBorders>
              <w:top w:sz="4" w:val="single" w:color="D9D2F2"/>
              <w:left w:sz="4" w:val="single" w:color="D9D2F2"/>
              <w:bottom w:sz="4" w:val="single" w:color="D9D2F2"/>
              <w:right w:sz="4" w:val="single" w:color="D9D2F2"/>
            </w:tcBorders>
          </w:tcPr>
          <w:p>
            <w:r>
              <w:rPr>
                <w:sz w:val="18"/>
              </w:rPr>
              <w:t>https://silversurfer239.github.io/spacelonx-site/</w:t>
            </w:r>
          </w:p>
        </w:tc>
      </w:tr>
      <w:tr>
        <w:tc>
          <w:tcPr>
            <w:tcW w:type="dxa" w:w="4968"/>
            <w:vAlign w:val="top"/>
            <w:tcBorders>
              <w:top w:sz="4" w:val="single" w:color="D9D2F2"/>
              <w:left w:sz="4" w:val="single" w:color="D9D2F2"/>
              <w:bottom w:sz="4" w:val="single" w:color="D9D2F2"/>
              <w:right w:sz="4" w:val="single" w:color="D9D2F2"/>
            </w:tcBorders>
          </w:tcPr>
          <w:p>
            <w:r>
              <w:rPr>
                <w:sz w:val="18"/>
              </w:rPr>
              <w:t>Journal</w:t>
            </w:r>
          </w:p>
        </w:tc>
        <w:tc>
          <w:tcPr>
            <w:tcW w:type="dxa" w:w="4968"/>
            <w:vAlign w:val="top"/>
            <w:tcBorders>
              <w:top w:sz="4" w:val="single" w:color="D9D2F2"/>
              <w:left w:sz="4" w:val="single" w:color="D9D2F2"/>
              <w:bottom w:sz="4" w:val="single" w:color="D9D2F2"/>
              <w:right w:sz="4" w:val="single" w:color="D9D2F2"/>
            </w:tcBorders>
          </w:tcPr>
          <w:p>
            <w:r>
              <w:rPr>
                <w:sz w:val="18"/>
              </w:rPr>
              <w:t>https://silversurfer239.github.io/spacelonx-site/blog/index.html</w:t>
            </w:r>
          </w:p>
        </w:tc>
      </w:tr>
      <w:tr>
        <w:tc>
          <w:tcPr>
            <w:tcW w:type="dxa" w:w="4968"/>
            <w:vAlign w:val="top"/>
            <w:tcBorders>
              <w:top w:sz="4" w:val="single" w:color="D9D2F2"/>
              <w:left w:sz="4" w:val="single" w:color="D9D2F2"/>
              <w:bottom w:sz="4" w:val="single" w:color="D9D2F2"/>
              <w:right w:sz="4" w:val="single" w:color="D9D2F2"/>
            </w:tcBorders>
          </w:tcPr>
          <w:p>
            <w:r>
              <w:rPr>
                <w:sz w:val="18"/>
              </w:rPr>
              <w:t>X/Twitter</w:t>
            </w:r>
          </w:p>
        </w:tc>
        <w:tc>
          <w:tcPr>
            <w:tcW w:type="dxa" w:w="4968"/>
            <w:vAlign w:val="top"/>
            <w:tcBorders>
              <w:top w:sz="4" w:val="single" w:color="D9D2F2"/>
              <w:left w:sz="4" w:val="single" w:color="D9D2F2"/>
              <w:bottom w:sz="4" w:val="single" w:color="D9D2F2"/>
              <w:right w:sz="4" w:val="single" w:color="D9D2F2"/>
            </w:tcBorders>
          </w:tcPr>
          <w:p>
            <w:r>
              <w:rPr>
                <w:sz w:val="18"/>
              </w:rPr>
              <w:t>@spacelonxslx</w:t>
            </w:r>
          </w:p>
        </w:tc>
      </w:tr>
      <w:tr>
        <w:tc>
          <w:tcPr>
            <w:tcW w:type="dxa" w:w="4968"/>
            <w:vAlign w:val="top"/>
            <w:tcBorders>
              <w:top w:sz="4" w:val="single" w:color="D9D2F2"/>
              <w:left w:sz="4" w:val="single" w:color="D9D2F2"/>
              <w:bottom w:sz="4" w:val="single" w:color="D9D2F2"/>
              <w:right w:sz="4" w:val="single" w:color="D9D2F2"/>
            </w:tcBorders>
          </w:tcPr>
          <w:p>
            <w:r>
              <w:rPr>
                <w:sz w:val="18"/>
              </w:rPr>
              <w:t>Telegram</w:t>
            </w:r>
          </w:p>
        </w:tc>
        <w:tc>
          <w:tcPr>
            <w:tcW w:type="dxa" w:w="4968"/>
            <w:vAlign w:val="top"/>
            <w:tcBorders>
              <w:top w:sz="4" w:val="single" w:color="D9D2F2"/>
              <w:left w:sz="4" w:val="single" w:color="D9D2F2"/>
              <w:bottom w:sz="4" w:val="single" w:color="D9D2F2"/>
              <w:right w:sz="4" w:val="single" w:color="D9D2F2"/>
            </w:tcBorders>
          </w:tcPr>
          <w:p>
            <w:r>
              <w:rPr>
                <w:sz w:val="18"/>
              </w:rPr>
              <w:t>SpacelonX Community</w:t>
            </w:r>
          </w:p>
        </w:tc>
      </w:tr>
      <w:tr>
        <w:tc>
          <w:tcPr>
            <w:tcW w:type="dxa" w:w="4968"/>
            <w:vAlign w:val="top"/>
            <w:tcBorders>
              <w:top w:sz="4" w:val="single" w:color="D9D2F2"/>
              <w:left w:sz="4" w:val="single" w:color="D9D2F2"/>
              <w:bottom w:sz="4" w:val="single" w:color="D9D2F2"/>
              <w:right w:sz="4" w:val="single" w:color="D9D2F2"/>
            </w:tcBorders>
          </w:tcPr>
          <w:p>
            <w:r>
              <w:rPr>
                <w:sz w:val="18"/>
              </w:rPr>
              <w:t>Current network status</w:t>
            </w:r>
          </w:p>
        </w:tc>
        <w:tc>
          <w:tcPr>
            <w:tcW w:type="dxa" w:w="4968"/>
            <w:vAlign w:val="top"/>
            <w:tcBorders>
              <w:top w:sz="4" w:val="single" w:color="D9D2F2"/>
              <w:left w:sz="4" w:val="single" w:color="D9D2F2"/>
              <w:bottom w:sz="4" w:val="single" w:color="D9D2F2"/>
              <w:right w:sz="4" w:val="single" w:color="D9D2F2"/>
            </w:tcBorders>
          </w:tcPr>
          <w:p>
            <w:r>
              <w:rPr>
                <w:sz w:val="18"/>
              </w:rPr>
              <w:t>Polygon Amoy testnet deployment and verification stage</w:t>
            </w:r>
          </w:p>
        </w:tc>
      </w:tr>
      <w:tr>
        <w:tc>
          <w:tcPr>
            <w:tcW w:type="dxa" w:w="4968"/>
            <w:vAlign w:val="top"/>
            <w:tcBorders>
              <w:top w:sz="4" w:val="single" w:color="D9D2F2"/>
              <w:left w:sz="4" w:val="single" w:color="D9D2F2"/>
              <w:bottom w:sz="4" w:val="single" w:color="D9D2F2"/>
              <w:right w:sz="4" w:val="single" w:color="D9D2F2"/>
            </w:tcBorders>
          </w:tcPr>
          <w:p>
            <w:r>
              <w:rPr>
                <w:sz w:val="18"/>
              </w:rPr>
              <w:t>Contract address shown on website</w:t>
            </w:r>
          </w:p>
        </w:tc>
        <w:tc>
          <w:tcPr>
            <w:tcW w:type="dxa" w:w="4968"/>
            <w:vAlign w:val="top"/>
            <w:tcBorders>
              <w:top w:sz="4" w:val="single" w:color="D9D2F2"/>
              <w:left w:sz="4" w:val="single" w:color="D9D2F2"/>
              <w:bottom w:sz="4" w:val="single" w:color="D9D2F2"/>
              <w:right w:sz="4" w:val="single" w:color="D9D2F2"/>
            </w:tcBorders>
          </w:tcPr>
          <w:p>
            <w:r>
              <w:rPr>
                <w:sz w:val="18"/>
              </w:rPr>
              <w:t>0xDBF17Cc980Ae4f7db5119e8C9c3E2AD53023aC9E</w:t>
            </w:r>
          </w:p>
        </w:tc>
      </w:tr>
      <w:tr>
        <w:tc>
          <w:tcPr>
            <w:tcW w:type="dxa" w:w="4968"/>
            <w:vAlign w:val="top"/>
            <w:tcBorders>
              <w:top w:sz="4" w:val="single" w:color="D9D2F2"/>
              <w:left w:sz="4" w:val="single" w:color="D9D2F2"/>
              <w:bottom w:sz="4" w:val="single" w:color="D9D2F2"/>
              <w:right w:sz="4" w:val="single" w:color="D9D2F2"/>
            </w:tcBorders>
          </w:tcPr>
          <w:p>
            <w:r>
              <w:rPr>
                <w:sz w:val="18"/>
              </w:rPr>
              <w:t>Affiliation status</w:t>
            </w:r>
          </w:p>
        </w:tc>
        <w:tc>
          <w:tcPr>
            <w:tcW w:type="dxa" w:w="4968"/>
            <w:vAlign w:val="top"/>
            <w:tcBorders>
              <w:top w:sz="4" w:val="single" w:color="D9D2F2"/>
              <w:left w:sz="4" w:val="single" w:color="D9D2F2"/>
              <w:bottom w:sz="4" w:val="single" w:color="D9D2F2"/>
              <w:right w:sz="4" w:val="single" w:color="D9D2F2"/>
            </w:tcBorders>
          </w:tcPr>
          <w:p>
            <w:r>
              <w:rPr>
                <w:sz w:val="18"/>
              </w:rPr>
              <w:t>Not affiliated with Elon Musk, SpaceX, Tesla, X Corp., NASA, or any aerospace company unless explicitly announced.</w:t>
            </w:r>
          </w:p>
        </w:tc>
      </w:tr>
    </w:tbl>
    <w:p>
      <w:pPr>
        <w:pStyle w:val="Heading1"/>
        <w:keepNext/>
      </w:pPr>
      <w:r>
        <w:t>6. Technical Architecture and Current Status</w:t>
      </w:r>
    </w:p>
    <w:p>
      <w:r>
        <w:t>The current technical environment is intentionally simple and transparent. The public website is hosted using GitHub Pages, enabling fast deployment and version control. The content pipeline uses n8n, OpenAI, GitHub, Telegram, and X/Twitter to create and distribute SpacelonX Journal articles.</w:t>
      </w:r>
    </w:p>
    <w:p>
      <w:pPr>
        <w:pStyle w:val="Heading2"/>
        <w:keepNext/>
      </w:pPr>
      <w:r>
        <w:t>Current Publishing Architecture</w:t>
      </w:r>
    </w:p>
    <w:p>
      <w:pPr>
        <w:pStyle w:val="ListBullet"/>
      </w:pPr>
      <w:r>
        <w:t>n8n daily trigger schedules the workflow at 08:00 Europe/Paris.</w:t>
      </w:r>
    </w:p>
    <w:p>
      <w:pPr>
        <w:pStyle w:val="ListBullet"/>
      </w:pPr>
      <w:r>
        <w:t>Trend and article generation nodes use OpenAI to create editorial content.</w:t>
      </w:r>
    </w:p>
    <w:p>
      <w:pPr>
        <w:pStyle w:val="ListBullet"/>
      </w:pPr>
      <w:r>
        <w:t>Generated HTML article files are committed to the GitHub repository.</w:t>
      </w:r>
    </w:p>
    <w:p>
      <w:pPr>
        <w:pStyle w:val="ListBullet"/>
      </w:pPr>
      <w:r>
        <w:t>The Journal index is automatically updated with a new article card.</w:t>
      </w:r>
    </w:p>
    <w:p>
      <w:pPr>
        <w:pStyle w:val="ListBullet"/>
      </w:pPr>
      <w:r>
        <w:t>GitHub Pages publishes the updated site.</w:t>
      </w:r>
    </w:p>
    <w:p>
      <w:pPr>
        <w:pStyle w:val="ListBullet"/>
      </w:pPr>
      <w:r>
        <w:t>Telegram and X/Twitter posts distribute the article link to the community.</w:t>
      </w:r>
    </w:p>
    <w:p>
      <w:pPr>
        <w:pStyle w:val="Heading2"/>
        <w:keepNext/>
      </w:pPr>
      <w:r>
        <w:t>Blockchain Status</w:t>
      </w:r>
    </w:p>
    <w:p>
      <w:r>
        <w:t>The token contract has been deployed and verified on Polygon Amoy testnet for community-building and testing purposes. A future mainnet launch should be treated as a separate milestone requiring professional audit, liquidity policy, public documentation, operational security, and legal review.</w:t>
      </w:r>
    </w:p>
    <w:p>
      <w:pPr>
        <w:pStyle w:val="Heading1"/>
        <w:keepNext/>
      </w:pPr>
      <w:r>
        <w:t>7. Token Concept: SLX</w:t>
      </w:r>
    </w:p>
    <w:p>
      <w:r>
        <w:t>SLX is the token identity of the SpacelonX ecosystem. At this stage, SLX should be understood as a community and narrative asset connected to the broader vision of blockchain-enabled space commerce. Any future utility must be released gradually, transparently, and subject to technical and legal feasibility.</w:t>
      </w:r>
    </w:p>
    <w:p>
      <w:pPr>
        <w:pStyle w:val="Heading2"/>
        <w:keepNext/>
      </w:pPr>
      <w:r>
        <w:t>Potential Utility Directions</w:t>
      </w:r>
    </w:p>
    <w:p>
      <w:pPr>
        <w:pStyle w:val="ListBullet"/>
      </w:pPr>
      <w:r>
        <w:t>Community access: gated community features, campaigns, roles, or participation rights.</w:t>
      </w:r>
    </w:p>
    <w:p>
      <w:pPr>
        <w:pStyle w:val="ListBullet"/>
      </w:pPr>
      <w:r>
        <w:t>Content economy: incentives or recognition around educational content, community research, and media engagement.</w:t>
      </w:r>
    </w:p>
    <w:p>
      <w:pPr>
        <w:pStyle w:val="ListBullet"/>
      </w:pPr>
      <w:r>
        <w:t>Payment narrative: symbolic exploration of decentralized payment rails for future orbital and interplanetary commerce.</w:t>
      </w:r>
    </w:p>
    <w:p>
      <w:pPr>
        <w:pStyle w:val="ListBullet"/>
      </w:pPr>
      <w:r>
        <w:t>Experimental simulations: future prototypes demonstrating automated payments between agents, bots, or simulated space-commerce actors.</w:t>
      </w:r>
    </w:p>
    <w:p>
      <w:pPr>
        <w:pStyle w:val="ListBullet"/>
      </w:pPr>
      <w:r>
        <w:t>Governance concepts: non-binding community polling around content priorities, ecosystem themes, and educational initiatives.</w:t>
      </w:r>
    </w:p>
    <w:p>
      <w:pPr>
        <w:pStyle w:val="Heading2"/>
        <w:keepNext/>
      </w:pPr>
      <w:r>
        <w:t>Tokenomics Status</w:t>
      </w:r>
    </w:p>
    <w:p>
      <w:r>
        <w:t>Tokenomics should not be overstated. Public materials currently indicate that a portion of supply is locked in vesting and that buy/sell tax mechanics have been tested on-chain. Final production tokenomics, liquidity policy, lock duration, wallet allocation, and tax parameters should be documented in a separate verified tokenomics sheet before any mainnet launch.</w:t>
      </w:r>
    </w:p>
    <w:p>
      <w:pPr>
        <w:pStyle w:val="Heading2"/>
        <w:keepNext/>
      </w:pPr>
      <w:r>
        <w:t>Token and Launch Controls</w:t>
      </w:r>
    </w:p>
    <w:tbl>
      <w:tblPr>
        <w:tblStyle w:val="TableGrid"/>
        <w:tblW w:type="auto" w:w="0"/>
        <w:jc w:val="center"/>
        <w:tblLook w:firstColumn="1" w:firstRow="1" w:lastColumn="0" w:lastRow="0" w:noHBand="0" w:noVBand="1" w:val="04A0"/>
      </w:tblPr>
      <w:tblGrid>
        <w:gridCol w:w="4968"/>
        <w:gridCol w:w="4968"/>
      </w:tblGrid>
      <w:tr>
        <w:tc>
          <w:tcPr>
            <w:tcW w:type="dxa" w:w="4968"/>
            <w:shd w:fill="EFE9FF"/>
            <w:tcBorders>
              <w:top w:sz="4" w:val="single" w:color="D9D2F2"/>
              <w:left w:sz="4" w:val="single" w:color="D9D2F2"/>
              <w:bottom w:sz="4" w:val="single" w:color="D9D2F2"/>
              <w:right w:sz="4" w:val="single" w:color="D9D2F2"/>
            </w:tcBorders>
          </w:tcPr>
          <w:p>
            <w:r>
              <w:rPr>
                <w:sz w:val="18"/>
              </w:rPr>
              <w:t>Field</w:t>
            </w:r>
          </w:p>
        </w:tc>
        <w:tc>
          <w:tcPr>
            <w:tcW w:type="dxa" w:w="4968"/>
            <w:shd w:fill="EFE9FF"/>
            <w:tcBorders>
              <w:top w:sz="4" w:val="single" w:color="D9D2F2"/>
              <w:left w:sz="4" w:val="single" w:color="D9D2F2"/>
              <w:bottom w:sz="4" w:val="single" w:color="D9D2F2"/>
              <w:right w:sz="4" w:val="single" w:color="D9D2F2"/>
            </w:tcBorders>
          </w:tcPr>
          <w:p>
            <w:r>
              <w:rPr>
                <w:sz w:val="18"/>
              </w:rPr>
              <w:t>Description</w:t>
            </w:r>
          </w:p>
        </w:tc>
      </w:tr>
      <w:tr>
        <w:tc>
          <w:tcPr>
            <w:tcW w:type="dxa" w:w="4968"/>
            <w:vAlign w:val="top"/>
            <w:tcBorders>
              <w:top w:sz="4" w:val="single" w:color="D9D2F2"/>
              <w:left w:sz="4" w:val="single" w:color="D9D2F2"/>
              <w:bottom w:sz="4" w:val="single" w:color="D9D2F2"/>
              <w:right w:sz="4" w:val="single" w:color="D9D2F2"/>
            </w:tcBorders>
          </w:tcPr>
          <w:p>
            <w:r>
              <w:rPr>
                <w:sz w:val="18"/>
              </w:rPr>
              <w:t>Mainnet status</w:t>
            </w:r>
          </w:p>
        </w:tc>
        <w:tc>
          <w:tcPr>
            <w:tcW w:type="dxa" w:w="4968"/>
            <w:vAlign w:val="top"/>
            <w:tcBorders>
              <w:top w:sz="4" w:val="single" w:color="D9D2F2"/>
              <w:left w:sz="4" w:val="single" w:color="D9D2F2"/>
              <w:bottom w:sz="4" w:val="single" w:color="D9D2F2"/>
              <w:right w:sz="4" w:val="single" w:color="D9D2F2"/>
            </w:tcBorders>
          </w:tcPr>
          <w:p>
            <w:r>
              <w:rPr>
                <w:sz w:val="18"/>
              </w:rPr>
              <w:t>Not yet presented as complete in this whitepaper; future mainnet launch requires audit and formal announcement.</w:t>
            </w:r>
          </w:p>
        </w:tc>
      </w:tr>
      <w:tr>
        <w:tc>
          <w:tcPr>
            <w:tcW w:type="dxa" w:w="4968"/>
            <w:vAlign w:val="top"/>
            <w:tcBorders>
              <w:top w:sz="4" w:val="single" w:color="D9D2F2"/>
              <w:left w:sz="4" w:val="single" w:color="D9D2F2"/>
              <w:bottom w:sz="4" w:val="single" w:color="D9D2F2"/>
              <w:right w:sz="4" w:val="single" w:color="D9D2F2"/>
            </w:tcBorders>
          </w:tcPr>
          <w:p>
            <w:r>
              <w:rPr>
                <w:sz w:val="18"/>
              </w:rPr>
              <w:t>Audit requirement</w:t>
            </w:r>
          </w:p>
        </w:tc>
        <w:tc>
          <w:tcPr>
            <w:tcW w:type="dxa" w:w="4968"/>
            <w:vAlign w:val="top"/>
            <w:tcBorders>
              <w:top w:sz="4" w:val="single" w:color="D9D2F2"/>
              <w:left w:sz="4" w:val="single" w:color="D9D2F2"/>
              <w:bottom w:sz="4" w:val="single" w:color="D9D2F2"/>
              <w:right w:sz="4" w:val="single" w:color="D9D2F2"/>
            </w:tcBorders>
          </w:tcPr>
          <w:p>
            <w:r>
              <w:rPr>
                <w:sz w:val="18"/>
              </w:rPr>
              <w:t>Professional smart contract audit recommended before mainnet deployment and liquidity activation.</w:t>
            </w:r>
          </w:p>
        </w:tc>
      </w:tr>
      <w:tr>
        <w:tc>
          <w:tcPr>
            <w:tcW w:type="dxa" w:w="4968"/>
            <w:vAlign w:val="top"/>
            <w:tcBorders>
              <w:top w:sz="4" w:val="single" w:color="D9D2F2"/>
              <w:left w:sz="4" w:val="single" w:color="D9D2F2"/>
              <w:bottom w:sz="4" w:val="single" w:color="D9D2F2"/>
              <w:right w:sz="4" w:val="single" w:color="D9D2F2"/>
            </w:tcBorders>
          </w:tcPr>
          <w:p>
            <w:r>
              <w:rPr>
                <w:sz w:val="18"/>
              </w:rPr>
              <w:t>Liquidity requirement</w:t>
            </w:r>
          </w:p>
        </w:tc>
        <w:tc>
          <w:tcPr>
            <w:tcW w:type="dxa" w:w="4968"/>
            <w:vAlign w:val="top"/>
            <w:tcBorders>
              <w:top w:sz="4" w:val="single" w:color="D9D2F2"/>
              <w:left w:sz="4" w:val="single" w:color="D9D2F2"/>
              <w:bottom w:sz="4" w:val="single" w:color="D9D2F2"/>
              <w:right w:sz="4" w:val="single" w:color="D9D2F2"/>
            </w:tcBorders>
          </w:tcPr>
          <w:p>
            <w:r>
              <w:rPr>
                <w:sz w:val="18"/>
              </w:rPr>
              <w:t>Liquidity lock or equivalent protection mechanism should be publicly documented.</w:t>
            </w:r>
          </w:p>
        </w:tc>
      </w:tr>
      <w:tr>
        <w:tc>
          <w:tcPr>
            <w:tcW w:type="dxa" w:w="4968"/>
            <w:vAlign w:val="top"/>
            <w:tcBorders>
              <w:top w:sz="4" w:val="single" w:color="D9D2F2"/>
              <w:left w:sz="4" w:val="single" w:color="D9D2F2"/>
              <w:bottom w:sz="4" w:val="single" w:color="D9D2F2"/>
              <w:right w:sz="4" w:val="single" w:color="D9D2F2"/>
            </w:tcBorders>
          </w:tcPr>
          <w:p>
            <w:r>
              <w:rPr>
                <w:sz w:val="18"/>
              </w:rPr>
              <w:t>Risk control</w:t>
            </w:r>
          </w:p>
        </w:tc>
        <w:tc>
          <w:tcPr>
            <w:tcW w:type="dxa" w:w="4968"/>
            <w:vAlign w:val="top"/>
            <w:tcBorders>
              <w:top w:sz="4" w:val="single" w:color="D9D2F2"/>
              <w:left w:sz="4" w:val="single" w:color="D9D2F2"/>
              <w:bottom w:sz="4" w:val="single" w:color="D9D2F2"/>
              <w:right w:sz="4" w:val="single" w:color="D9D2F2"/>
            </w:tcBorders>
          </w:tcPr>
          <w:p>
            <w:r>
              <w:rPr>
                <w:sz w:val="18"/>
              </w:rPr>
              <w:t>No guaranteed returns, no price claims, no promises of exchange listing.</w:t>
            </w:r>
          </w:p>
        </w:tc>
      </w:tr>
      <w:tr>
        <w:tc>
          <w:tcPr>
            <w:tcW w:type="dxa" w:w="4968"/>
            <w:vAlign w:val="top"/>
            <w:tcBorders>
              <w:top w:sz="4" w:val="single" w:color="D9D2F2"/>
              <w:left w:sz="4" w:val="single" w:color="D9D2F2"/>
              <w:bottom w:sz="4" w:val="single" w:color="D9D2F2"/>
              <w:right w:sz="4" w:val="single" w:color="D9D2F2"/>
            </w:tcBorders>
          </w:tcPr>
          <w:p>
            <w:r>
              <w:rPr>
                <w:sz w:val="18"/>
              </w:rPr>
              <w:t>Compliance posture</w:t>
            </w:r>
          </w:p>
        </w:tc>
        <w:tc>
          <w:tcPr>
            <w:tcW w:type="dxa" w:w="4968"/>
            <w:vAlign w:val="top"/>
            <w:tcBorders>
              <w:top w:sz="4" w:val="single" w:color="D9D2F2"/>
              <w:left w:sz="4" w:val="single" w:color="D9D2F2"/>
              <w:bottom w:sz="4" w:val="single" w:color="D9D2F2"/>
              <w:right w:sz="4" w:val="single" w:color="D9D2F2"/>
            </w:tcBorders>
          </w:tcPr>
          <w:p>
            <w:r>
              <w:rPr>
                <w:sz w:val="18"/>
              </w:rPr>
              <w:t>Clear disclaimers, transparent communications, and avoidance of misleading marketing.</w:t>
            </w:r>
          </w:p>
        </w:tc>
      </w:tr>
    </w:tbl>
    <w:p>
      <w:pPr>
        <w:pStyle w:val="Heading1"/>
        <w:keepNext/>
      </w:pPr>
      <w:r>
        <w:t>8. Use Cases and Product Directions</w:t>
      </w:r>
    </w:p>
    <w:p>
      <w:r>
        <w:t>SpacelonX is at an early stage. The credible approach is to distinguish between immediate, near-term, and long-term use cases.</w:t>
      </w:r>
    </w:p>
    <w:p>
      <w:pPr>
        <w:pStyle w:val="Heading2"/>
        <w:keepNext/>
      </w:pPr>
      <w:r>
        <w:t>Immediate Use Cases</w:t>
      </w:r>
    </w:p>
    <w:p>
      <w:pPr>
        <w:pStyle w:val="ListBullet"/>
      </w:pPr>
      <w:r>
        <w:t>Community identity for the SpacelonX ecosystem.</w:t>
      </w:r>
    </w:p>
    <w:p>
      <w:pPr>
        <w:pStyle w:val="ListBullet"/>
      </w:pPr>
      <w:r>
        <w:t>Narrative anchor for content, education, and media around space finance.</w:t>
      </w:r>
    </w:p>
    <w:p>
      <w:pPr>
        <w:pStyle w:val="ListBullet"/>
      </w:pPr>
      <w:r>
        <w:t>Experimental community campaigns around AI, blockchain, and space economy topics.</w:t>
      </w:r>
    </w:p>
    <w:p>
      <w:pPr>
        <w:pStyle w:val="Heading2"/>
        <w:keepNext/>
      </w:pPr>
      <w:r>
        <w:t>Near-Term Product Directions</w:t>
      </w:r>
    </w:p>
    <w:p>
      <w:pPr>
        <w:pStyle w:val="ListBullet"/>
      </w:pPr>
      <w:r>
        <w:t>SpacelonX Journal expansion with daily SEO content and social distribution.</w:t>
      </w:r>
    </w:p>
    <w:p>
      <w:pPr>
        <w:pStyle w:val="ListBullet"/>
      </w:pPr>
      <w:r>
        <w:t>Telegram FAQ bot and community moderation tools.</w:t>
      </w:r>
    </w:p>
    <w:p>
      <w:pPr>
        <w:pStyle w:val="ListBullet"/>
      </w:pPr>
      <w:r>
        <w:t>Educational explainers on smart contracts, DeFi, satellite infrastructure, and autonomous payments.</w:t>
      </w:r>
    </w:p>
    <w:p>
      <w:pPr>
        <w:pStyle w:val="ListBullet"/>
      </w:pPr>
      <w:r>
        <w:t>Prototype dashboards presenting ecosystem links, contract status, roadmap, and community metrics.</w:t>
      </w:r>
    </w:p>
    <w:p>
      <w:pPr>
        <w:pStyle w:val="Heading2"/>
        <w:keepNext/>
      </w:pPr>
      <w:r>
        <w:t>Long-Term Conceptual Use Cases</w:t>
      </w:r>
    </w:p>
    <w:p>
      <w:pPr>
        <w:pStyle w:val="ListBullet"/>
      </w:pPr>
      <w:r>
        <w:t>Payment simulations for autonomous agents in space-commerce scenarios.</w:t>
      </w:r>
    </w:p>
    <w:p>
      <w:pPr>
        <w:pStyle w:val="ListBullet"/>
      </w:pPr>
      <w:r>
        <w:t>Tokenized access to hypothetical satellite data services or educational simulations.</w:t>
      </w:r>
    </w:p>
    <w:p>
      <w:pPr>
        <w:pStyle w:val="ListBullet"/>
      </w:pPr>
      <w:r>
        <w:t>Community-governed research themes around AI and aerospace finance.</w:t>
      </w:r>
    </w:p>
    <w:p>
      <w:pPr>
        <w:pStyle w:val="ListBullet"/>
      </w:pPr>
      <w:r>
        <w:t>Interoperability experiments with decentralized identity and machine-to-machine settlement models.</w:t>
      </w:r>
    </w:p>
    <w:p>
      <w:pPr>
        <w:pStyle w:val="Heading1"/>
        <w:keepNext/>
      </w:pPr>
      <w:r>
        <w:t>9. Community, Media, and Growth Engine</w:t>
      </w:r>
    </w:p>
    <w:p>
      <w:r>
        <w:t>SpacelonX is not only a token concept. It is also a media engine. The project has implemented an automation system that creates and distributes articles through GitHub Pages, Telegram, and X/Twitter. This is important because the intersection of space, AI, and blockchain is complex; education and content are essential to building credibility.</w:t>
      </w:r>
    </w:p>
    <w:p>
      <w:pPr>
        <w:pStyle w:val="Heading2"/>
        <w:keepNext/>
      </w:pPr>
      <w:r>
        <w:t>Jarvis Media Spatial</w:t>
      </w:r>
    </w:p>
    <w:p>
      <w:r>
        <w:t>Jarvis Media Spatial is the internal name of the autonomous publishing pipeline. It detects or receives article ideas, generates SEO-oriented content, publishes it to the SpacelonX Journal, and distributes the link through social channels. This gives the project a repeatable mechanism for narrative growth.</w:t>
      </w:r>
    </w:p>
    <w:p>
      <w:pPr>
        <w:pStyle w:val="Heading2"/>
        <w:keepNext/>
      </w:pPr>
      <w:r>
        <w:t>Content Rules</w:t>
      </w:r>
    </w:p>
    <w:p>
      <w:pPr>
        <w:pStyle w:val="ListBullet"/>
      </w:pPr>
      <w:r>
        <w:t>Articles should be educational, not manipulative.</w:t>
      </w:r>
    </w:p>
    <w:p>
      <w:pPr>
        <w:pStyle w:val="ListBullet"/>
      </w:pPr>
      <w:r>
        <w:t>No guaranteed profit language, no price predictions, no “1000x” rhetoric.</w:t>
      </w:r>
    </w:p>
    <w:p>
      <w:pPr>
        <w:pStyle w:val="ListBullet"/>
      </w:pPr>
      <w:r>
        <w:t>SLX mentions should be natural and contextual.</w:t>
      </w:r>
    </w:p>
    <w:p>
      <w:pPr>
        <w:pStyle w:val="ListBullet"/>
      </w:pPr>
      <w:r>
        <w:t>The project should be described as experimental, community-driven, and future-oriented.</w:t>
      </w:r>
    </w:p>
    <w:p>
      <w:pPr>
        <w:pStyle w:val="ListBullet"/>
      </w:pPr>
      <w:r>
        <w:t>Any real-world partnership or technical claim must be verifiable before publication.</w:t>
      </w:r>
    </w:p>
    <w:p>
      <w:pPr>
        <w:pStyle w:val="Heading1"/>
        <w:keepNext/>
      </w:pPr>
      <w:r>
        <w:t>10. Roadmap</w:t>
      </w:r>
    </w:p>
    <w:p>
      <w:r>
        <w:t>The roadmap is intentionally staged. Each phase should be completed with verifiable public evidence before the next phase is marketed aggressively.</w:t>
      </w:r>
    </w:p>
    <w:p>
      <w:pPr>
        <w:pStyle w:val="Heading2"/>
        <w:keepNext/>
      </w:pPr>
      <w:r>
        <w:t>Phase 0 - Foundations</w:t>
      </w:r>
    </w:p>
    <w:p>
      <w:pPr>
        <w:pStyle w:val="ListBullet"/>
      </w:pPr>
      <w:r>
        <w:t>Smart contract written, deployed, and verified on Polygon Amoy testnet.</w:t>
      </w:r>
    </w:p>
    <w:p>
      <w:pPr>
        <w:pStyle w:val="ListBullet"/>
      </w:pPr>
      <w:r>
        <w:t>Initial website and social channels launched.</w:t>
      </w:r>
    </w:p>
    <w:p>
      <w:pPr>
        <w:pStyle w:val="ListBullet"/>
      </w:pPr>
      <w:r>
        <w:t>Telegram bot and FAQ layer created.</w:t>
      </w:r>
    </w:p>
    <w:p>
      <w:pPr>
        <w:pStyle w:val="Heading2"/>
        <w:keepNext/>
      </w:pPr>
      <w:r>
        <w:t>Phase 1 - Community and Media</w:t>
      </w:r>
    </w:p>
    <w:p>
      <w:pPr>
        <w:pStyle w:val="ListBullet"/>
      </w:pPr>
      <w:r>
        <w:t>Daily SpacelonX Journal articles.</w:t>
      </w:r>
    </w:p>
    <w:p>
      <w:pPr>
        <w:pStyle w:val="ListBullet"/>
      </w:pPr>
      <w:r>
        <w:t>Telegram and X/Twitter automation.</w:t>
      </w:r>
    </w:p>
    <w:p>
      <w:pPr>
        <w:pStyle w:val="ListBullet"/>
      </w:pPr>
      <w:r>
        <w:t>Community growth campaigns and educational content.</w:t>
      </w:r>
    </w:p>
    <w:p>
      <w:pPr>
        <w:pStyle w:val="Heading2"/>
        <w:keepNext/>
      </w:pPr>
      <w:r>
        <w:t>Phase 2 - Pre-Launch Hardening</w:t>
      </w:r>
    </w:p>
    <w:p>
      <w:pPr>
        <w:pStyle w:val="ListBullet"/>
      </w:pPr>
      <w:r>
        <w:t>Professional smart contract audit.</w:t>
      </w:r>
    </w:p>
    <w:p>
      <w:pPr>
        <w:pStyle w:val="ListBullet"/>
      </w:pPr>
      <w:r>
        <w:t>Final tokenomics document.</w:t>
      </w:r>
    </w:p>
    <w:p>
      <w:pPr>
        <w:pStyle w:val="ListBullet"/>
      </w:pPr>
      <w:r>
        <w:t>Liquidity lock design and operational security review.</w:t>
      </w:r>
    </w:p>
    <w:p>
      <w:pPr>
        <w:pStyle w:val="ListBullet"/>
      </w:pPr>
      <w:r>
        <w:t>Legal and compliance review for jurisdictions in scope.</w:t>
      </w:r>
    </w:p>
    <w:p>
      <w:pPr>
        <w:pStyle w:val="Heading2"/>
        <w:keepNext/>
      </w:pPr>
      <w:r>
        <w:t>Phase 3 - Mainnet Launch</w:t>
      </w:r>
    </w:p>
    <w:p>
      <w:pPr>
        <w:pStyle w:val="ListBullet"/>
      </w:pPr>
      <w:r>
        <w:t>Deployment on Polygon mainnet or selected network.</w:t>
      </w:r>
    </w:p>
    <w:p>
      <w:pPr>
        <w:pStyle w:val="ListBullet"/>
      </w:pPr>
      <w:r>
        <w:t>Liquidity pool creation and lock documentation.</w:t>
      </w:r>
    </w:p>
    <w:p>
      <w:pPr>
        <w:pStyle w:val="ListBullet"/>
      </w:pPr>
      <w:r>
        <w:t>Public launch announcement with verified links.</w:t>
      </w:r>
    </w:p>
    <w:p>
      <w:pPr>
        <w:pStyle w:val="Heading2"/>
        <w:keepNext/>
      </w:pPr>
      <w:r>
        <w:t>Phase 4 - Growth and Integrations</w:t>
      </w:r>
    </w:p>
    <w:p>
      <w:pPr>
        <w:pStyle w:val="ListBullet"/>
      </w:pPr>
      <w:r>
        <w:t>CoinGecko and CoinMarketCap listing applications when eligibility criteria are met.</w:t>
      </w:r>
    </w:p>
    <w:p>
      <w:pPr>
        <w:pStyle w:val="ListBullet"/>
      </w:pPr>
      <w:r>
        <w:t>Potential centralized exchange discussions if community scale and compliance allow.</w:t>
      </w:r>
    </w:p>
    <w:p>
      <w:pPr>
        <w:pStyle w:val="ListBullet"/>
      </w:pPr>
      <w:r>
        <w:t>Experimental prototypes around AI agents, payment simulations, and space-commerce narratives.</w:t>
      </w:r>
    </w:p>
    <w:p>
      <w:pPr>
        <w:pStyle w:val="Heading1"/>
        <w:keepNext/>
      </w:pPr>
      <w:r>
        <w:t>11. Governance and Compliance Principles</w:t>
      </w:r>
    </w:p>
    <w:p>
      <w:r>
        <w:t>SpacelonX should maintain a strict communication discipline. Crypto projects are vulnerable to reputational damage when they overpromise. The project should therefore separate speculative narrative from operational facts.</w:t>
      </w:r>
    </w:p>
    <w:p>
      <w:pPr>
        <w:pStyle w:val="Heading2"/>
        <w:keepNext/>
      </w:pPr>
      <w:r>
        <w:t>Governance Principles</w:t>
      </w:r>
    </w:p>
    <w:p>
      <w:pPr>
        <w:pStyle w:val="ListBullet"/>
      </w:pPr>
      <w:r>
        <w:t>Transparency: public links, clear contract addresses, verified announcements, and visible documentation.</w:t>
      </w:r>
    </w:p>
    <w:p>
      <w:pPr>
        <w:pStyle w:val="ListBullet"/>
      </w:pPr>
      <w:r>
        <w:t>Community input: non-binding polling can help shape content, roadmap priorities, and educational themes.</w:t>
      </w:r>
    </w:p>
    <w:p>
      <w:pPr>
        <w:pStyle w:val="ListBullet"/>
      </w:pPr>
      <w:r>
        <w:t>Security first: mainnet deployment should not occur without audit, wallet hygiene, access control, and incident planning.</w:t>
      </w:r>
    </w:p>
    <w:p>
      <w:pPr>
        <w:pStyle w:val="ListBullet"/>
      </w:pPr>
      <w:r>
        <w:t>Responsible marketing: avoid investment language and ensure disclaimers are visible.</w:t>
      </w:r>
    </w:p>
    <w:p>
      <w:pPr>
        <w:pStyle w:val="Heading2"/>
        <w:keepNext/>
      </w:pPr>
      <w:r>
        <w:t>Compliance Principles</w:t>
      </w:r>
    </w:p>
    <w:p>
      <w:pPr>
        <w:pStyle w:val="ListBullet"/>
      </w:pPr>
      <w:r>
        <w:t>Do not market SLX as a security, investment contract, dividend instrument, or guaranteed revenue product.</w:t>
      </w:r>
    </w:p>
    <w:p>
      <w:pPr>
        <w:pStyle w:val="ListBullet"/>
      </w:pPr>
      <w:r>
        <w:t>Avoid claims of affiliation with well-known individuals or companies unless legally documented.</w:t>
      </w:r>
    </w:p>
    <w:p>
      <w:pPr>
        <w:pStyle w:val="ListBullet"/>
      </w:pPr>
      <w:r>
        <w:t>Keep clear records of tokenomics, contract deployment, audit status, and liquidity arrangements.</w:t>
      </w:r>
    </w:p>
    <w:p>
      <w:pPr>
        <w:pStyle w:val="ListBullet"/>
      </w:pPr>
      <w:r>
        <w:t>Publish risk warnings and encourage users to do their own research.</w:t>
      </w:r>
    </w:p>
    <w:p>
      <w:pPr>
        <w:pStyle w:val="Heading1"/>
        <w:keepNext/>
      </w:pPr>
      <w:r>
        <w:t>12. Risk Factors and Disclaimers</w:t>
      </w:r>
    </w:p>
    <w:p>
      <w:r>
        <w:t>Participation in any crypto ecosystem involves significant risk. This section is intentionally direct.</w:t>
      </w:r>
    </w:p>
    <w:p>
      <w:pPr>
        <w:pStyle w:val="Heading2"/>
        <w:keepNext/>
      </w:pPr>
      <w:r>
        <w:t>Key Risks</w:t>
      </w:r>
    </w:p>
    <w:p>
      <w:pPr>
        <w:pStyle w:val="ListBullet"/>
      </w:pPr>
      <w:r>
        <w:t>Smart contract risk: bugs, exploits, or misconfigurations may cause loss of funds.</w:t>
      </w:r>
    </w:p>
    <w:p>
      <w:pPr>
        <w:pStyle w:val="ListBullet"/>
      </w:pPr>
      <w:r>
        <w:t>Market risk: token prices can be highly volatile and may decline to zero.</w:t>
      </w:r>
    </w:p>
    <w:p>
      <w:pPr>
        <w:pStyle w:val="ListBullet"/>
      </w:pPr>
      <w:r>
        <w:t>Liquidity risk: users may be unable to buy or sell at expected prices.</w:t>
      </w:r>
    </w:p>
    <w:p>
      <w:pPr>
        <w:pStyle w:val="ListBullet"/>
      </w:pPr>
      <w:r>
        <w:t>Regulatory risk: laws and rules may change and affect the project or token.</w:t>
      </w:r>
    </w:p>
    <w:p>
      <w:pPr>
        <w:pStyle w:val="ListBullet"/>
      </w:pPr>
      <w:r>
        <w:t>Operational risk: compromised keys, poor access control, or service outages can damage the ecosystem.</w:t>
      </w:r>
    </w:p>
    <w:p>
      <w:pPr>
        <w:pStyle w:val="ListBullet"/>
      </w:pPr>
      <w:r>
        <w:t>Reputation risk: inaccurate claims, fake partnerships, or aggressive hype can reduce credibility.</w:t>
      </w:r>
    </w:p>
    <w:p>
      <w:pPr>
        <w:pStyle w:val="ListBullet"/>
      </w:pPr>
      <w:r>
        <w:t>Platform risk: social networks, hosting platforms, APIs, and third-party services may suspend, limit, or change access.</w:t>
      </w:r>
    </w:p>
    <w:p>
      <w:pPr>
        <w:pStyle w:val="Heading2"/>
        <w:keepNext/>
      </w:pPr>
      <w:r>
        <w:t>Non-Affiliation Disclaimer</w:t>
      </w:r>
    </w:p>
    <w:p>
      <w:r>
        <w:t>SpacelonX is not affiliated with Elon Musk, SpaceX, Tesla, X Corp., NASA, Polygon, or any aerospace or technology company unless a formal partnership is publicly announced and verifiable. Any thematic references to space exploration are cultural, educational, and narrative-based.</w:t>
      </w:r>
    </w:p>
    <w:p>
      <w:pPr>
        <w:pStyle w:val="Heading2"/>
        <w:keepNext/>
      </w:pPr>
      <w:r>
        <w:t>No Financial Advice</w:t>
      </w:r>
    </w:p>
    <w:p>
      <w:r>
        <w:t>This whitepaper is for informational and community purposes only. It does not constitute financial advice, legal advice, tax advice, investment advice, or an offer to sell securities or tokens. Users should perform independent research and consult qualified professionals before taking any action.</w:t>
      </w:r>
    </w:p>
    <w:p>
      <w:pPr>
        <w:pStyle w:val="Heading1"/>
        <w:keepNext/>
      </w:pPr>
      <w:r>
        <w:t>Appendix A - Glossary</w:t>
      </w:r>
    </w:p>
    <w:p>
      <w:pPr>
        <w:pStyle w:val="Heading2"/>
        <w:keepNext/>
      </w:pPr>
      <w:r>
        <w:t>AI Agent</w:t>
      </w:r>
    </w:p>
    <w:p>
      <w:r>
        <w:t>A software system capable of performing tasks autonomously or semi-autonomously, such as generating content, monitoring trends, or executing workflow steps.</w:t>
      </w:r>
    </w:p>
    <w:p>
      <w:pPr>
        <w:pStyle w:val="Heading2"/>
        <w:keepNext/>
      </w:pPr>
      <w:r>
        <w:t>Blockchain</w:t>
      </w:r>
    </w:p>
    <w:p>
      <w:r>
        <w:t>A cryptographic ledger system that records transactions across a network, often enabling programmable rules through smart contracts.</w:t>
      </w:r>
    </w:p>
    <w:p>
      <w:pPr>
        <w:pStyle w:val="Heading2"/>
        <w:keepNext/>
      </w:pPr>
      <w:r>
        <w:t>DeFi</w:t>
      </w:r>
    </w:p>
    <w:p>
      <w:r>
        <w:t>Decentralized finance: a category of blockchain applications for financial functions such as exchange, lending, settlement, and liquidity provisioning.</w:t>
      </w:r>
    </w:p>
    <w:p>
      <w:pPr>
        <w:pStyle w:val="Heading2"/>
        <w:keepNext/>
      </w:pPr>
      <w:r>
        <w:t>Interplanetary Payments</w:t>
      </w:r>
    </w:p>
    <w:p>
      <w:r>
        <w:t>A long-term conceptual term describing payment systems that could theoretically operate across planetary or orbital environments. It is not a current commercial capability of SLX.</w:t>
      </w:r>
    </w:p>
    <w:p>
      <w:pPr>
        <w:pStyle w:val="Heading2"/>
        <w:keepNext/>
      </w:pPr>
      <w:r>
        <w:t>SLX</w:t>
      </w:r>
    </w:p>
    <w:p>
      <w:r>
        <w:t>The symbolic token identity of the SpacelonX ecosystem, associated with the project narrative around space commerce, AI, and decentralized payment infrastructure.</w:t>
      </w:r>
    </w:p>
    <w:p>
      <w:pPr>
        <w:pStyle w:val="Heading2"/>
        <w:keepNext/>
      </w:pPr>
      <w:r>
        <w:t>Space Economy</w:t>
      </w:r>
    </w:p>
    <w:p>
      <w:r>
        <w:t>The expanding commercial and public-sector ecosystem around launch, satellites, communications, Earth observation, robotics, lunar programs, and future off-world infrastructure.</w:t>
      </w:r>
    </w:p>
    <w:p>
      <w:r>
        <w:br w:type="page"/>
      </w:r>
    </w:p>
    <w:p>
      <w:pPr>
        <w:pStyle w:val="Heading1"/>
        <w:keepNext/>
      </w:pPr>
      <w:r>
        <w:t>Closing Statement</w:t>
      </w:r>
    </w:p>
    <w:p>
      <w:r>
        <w:t>SpacelonX is building a recognizable community narrative around a major long-term question: how will money, identity, settlement, and autonomous commerce evolve if human economic activity expands into orbit and beyond?</w:t>
      </w:r>
    </w:p>
    <w:p>
      <w:r>
        <w:t>SLX is the cultural token of that narrative. The responsible path forward is to build openly, publish consistently, communicate carefully, and only announce technical milestones when they are verifiable.</w:t>
      </w:r>
    </w:p>
    <w:p>
      <w:r>
        <w:t xml:space="preserve">Official site: </w:t>
      </w:r>
      <w:hyperlink r:id="rId11">
        <w:r>
          <w:rPr>
            <w:color w:val="6C3DF4"/>
            <w:u w:val="single"/>
          </w:rPr>
          <w:t>https://silversurfer239.github.io/spacelonx-site/</w:t>
        </w:r>
      </w:hyperlink>
    </w:p>
    <w:p>
      <w:r>
        <w:t>Document version: v1.0 - prepared for public project communication and website publication.</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5A7D"/>
        <w:sz w:val="16"/>
      </w:rPr>
      <w:t>Not financial advice - Community and technology narrative document</w:t>
    </w:r>
  </w:p>
  <w:p>
    <w:pPr>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5A7D"/>
        <w:sz w:val="16"/>
      </w:rPr>
      <w:t>SpacelonX ($SLX) - Whitepaper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1E1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eastAsia="Aptos Display"/>
      <w:b/>
      <w:bCs/>
      <w:color w:val="6C3DF4"/>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442D78"/>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3C32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Aptos Display"/>
      <w:b/>
      <w:color w:val="9B6D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240"/>
    </w:pPr>
    <w:rPr>
      <w:rFonts w:ascii="Aptos" w:hAnsi="Aptos"/>
      <w:color w:val="645A7D"/>
      <w:sz w:val="26"/>
    </w:rPr>
  </w:style>
  <w:style w:type="paragraph" w:customStyle="1" w:styleId="SmallNote">
    <w:name w:val="Small Note"/>
    <w:pPr>
      <w:spacing w:after="80"/>
    </w:pPr>
    <w:rPr>
      <w:rFonts w:ascii="Aptos" w:hAnsi="Aptos"/>
      <w:color w:val="645A7D"/>
      <w:sz w:val="17"/>
    </w:rPr>
  </w:style>
  <w:style w:type="paragraph" w:customStyle="1" w:styleId="CoverLabel">
    <w:name w:val="Cover Label"/>
    <w:pPr>
      <w:spacing w:after="80"/>
    </w:pPr>
    <w:rPr>
      <w:rFonts w:ascii="Aptos" w:hAnsi="Aptos"/>
      <w:b/>
      <w:color w:val="9B6DF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ilversurfer239.github.io/spacelonx-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SpacelonX ($SLX) Whitepaper v1.0</dc:title>
  <dc:subject>SpacelonX ecosystem, SLX token narrative, space economy, AI and blockchain</dc:subject>
  <dc:creator>SpacelonX Community</dc:creator>
  <cp:keywords>SpacelonX, SLX, blockchain, space economy, AI, interplanetary payments, crypto</cp:keywords>
  <dc:description>generated by python-docx</dc:description>
  <cp:lastModifiedBy/>
  <cp:revision>1</cp:revision>
  <dcterms:created xsi:type="dcterms:W3CDTF">2013-12-23T23:15:00Z</dcterms:created>
  <dcterms:modified xsi:type="dcterms:W3CDTF">2013-12-23T23:15:00Z</dcterms:modified>
  <cp:category/>
</cp:coreProperties>
</file>