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46520" cy="9110674"/>
            <wp:docPr id="1" name="Picture 1"/>
            <wp:cNvGraphicFramePr>
              <a:graphicFrameLocks noChangeAspect="1"/>
            </wp:cNvGraphicFramePr>
            <a:graphic>
              <a:graphicData uri="http://schemas.openxmlformats.org/drawingml/2006/picture">
                <pic:pic>
                  <pic:nvPicPr>
                    <pic:cNvPr id="0" name="a_high_detail_sci_fi_themed_poster_cover_design_in.png"/>
                    <pic:cNvPicPr/>
                  </pic:nvPicPr>
                  <pic:blipFill>
                    <a:blip r:embed="rId9"/>
                    <a:stretch>
                      <a:fillRect/>
                    </a:stretch>
                  </pic:blipFill>
                  <pic:spPr>
                    <a:xfrm>
                      <a:off x="0" y="0"/>
                      <a:ext cx="6446520" cy="9110674"/>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4420d360-30f3-4e23-b48a-3d266f926766.png"/>
                    <pic:cNvPicPr/>
                  </pic:nvPicPr>
                  <pic:blipFill>
                    <a:blip r:embed="rId10"/>
                    <a:stretch>
                      <a:fillRect/>
                    </a:stretch>
                  </pic:blipFill>
                  <pic:spPr>
                    <a:xfrm>
                      <a:off x="0" y="0"/>
                      <a:ext cx="2377440" cy="2377440"/>
                    </a:xfrm>
                    <a:prstGeom prst="rect"/>
                  </pic:spPr>
                </pic:pic>
              </a:graphicData>
            </a:graphic>
          </wp:inline>
        </w:drawing>
      </w:r>
    </w:p>
    <w:p>
      <w:pPr>
        <w:jc w:val="center"/>
      </w:pPr>
      <w:r>
        <w:rPr>
          <w:b/>
          <w:color w:val="D4AF37"/>
          <w:sz w:val="40"/>
        </w:rPr>
        <w:t>SPACELONX (SLX)</w:t>
        <w:br/>
        <w:t>WHITEPAPER V1.2 PREMIUM GOLD</w:t>
        <w:br/>
        <w:t>INSTITUTIONAL EDITION</w:t>
      </w:r>
    </w:p>
    <w:p>
      <w:pPr>
        <w:jc w:val="center"/>
      </w:pPr>
      <w:r>
        <w:rPr>
          <w:color w:val="3C3C3C"/>
          <w:sz w:val="22"/>
        </w:rPr>
        <w:t>The AI Memecoin of the YDEC Ecosystem | Polygon Mainnet | June 2026</w:t>
      </w:r>
    </w:p>
    <w:p>
      <w:pPr>
        <w:spacing w:before="200" w:after="120"/>
      </w:pPr>
      <w:r>
        <w:rPr>
          <w:b/>
          <w:color w:val="D4AF37"/>
          <w:sz w:val="44"/>
        </w:rPr>
        <w:t>Executive Summary</w:t>
      </w:r>
    </w:p>
    <w:p>
      <w:pPr>
        <w:spacing w:after="100" w:line="259" w:lineRule="auto"/>
      </w:pPr>
      <w:r>
        <w:rPr>
          <w:color w:val="232323"/>
          <w:sz w:val="21"/>
        </w:rPr>
        <w:t>SpacelonX (SLX) is an AI-oriented memecoin deployed on Polygon Mainnet. The project is designed to connect community culture with practical digital services, decentralized governance and progressive utility inside the YDEC ecosystem.</w:t>
      </w:r>
    </w:p>
    <w:p>
      <w:pPr>
        <w:spacing w:after="100" w:line="259" w:lineRule="auto"/>
      </w:pPr>
      <w:r>
        <w:rPr>
          <w:color w:val="232323"/>
          <w:sz w:val="21"/>
        </w:rPr>
        <w:t>The project aims to move beyond purely speculative memecoins by developing holder-focused services such as Nenette AI, staking, DAO governance, premium access layers and future integrations with YDEC-CALL, Oracle, Jarvis, Nono and Gouvernor Bank.</w:t>
      </w:r>
    </w:p>
    <w:p>
      <w:pPr>
        <w:spacing w:after="100" w:line="259" w:lineRule="auto"/>
      </w:pPr>
      <w:r>
        <w:rPr>
          <w:color w:val="232323"/>
          <w:sz w:val="21"/>
        </w:rPr>
        <w:t>This Institutional Edition presents the official project narrative, token information, tokenomics, roadmap, staking model, governance framework and CoinGecko readiness package.</w:t>
      </w:r>
    </w:p>
    <w:p>
      <w:pPr>
        <w:spacing w:before="200" w:after="120"/>
      </w:pPr>
      <w:r>
        <w:rPr>
          <w:b/>
          <w:color w:val="D4AF37"/>
          <w:sz w:val="44"/>
        </w:rPr>
        <w:t>Official Project Information</w:t>
      </w:r>
    </w:p>
    <w:tbl>
      <w:tblPr>
        <w:tblW w:type="auto" w:w="0"/>
        <w:jc w:val="center"/>
        <w:tblLook w:firstColumn="1" w:firstRow="1" w:lastColumn="0" w:lastRow="0" w:noHBand="0" w:noVBand="1" w:val="04A0"/>
      </w:tblPr>
      <w:tblGrid>
        <w:gridCol w:w="5018"/>
        <w:gridCol w:w="5018"/>
      </w:tblGrid>
      <w:tr>
        <w:tc>
          <w:tcPr>
            <w:tcW w:type="dxa" w:w="5018"/>
            <w:shd w:fill="0B0B0B"/>
          </w:tcPr>
          <w:p>
            <w:r/>
            <w:r>
              <w:rPr>
                <w:b/>
                <w:color w:val="D4AF37"/>
                <w:sz w:val="19"/>
              </w:rPr>
              <w:t>Project name</w:t>
            </w:r>
          </w:p>
        </w:tc>
        <w:tc>
          <w:tcPr>
            <w:tcW w:type="dxa" w:w="5018"/>
            <w:shd w:fill="202020"/>
          </w:tcPr>
          <w:p>
            <w:r/>
            <w:r>
              <w:rPr>
                <w:b w:val="0"/>
                <w:color w:val="FFFFFF"/>
                <w:sz w:val="19"/>
              </w:rPr>
              <w:t>SpacelonX</w:t>
            </w:r>
          </w:p>
        </w:tc>
      </w:tr>
      <w:tr>
        <w:tc>
          <w:tcPr>
            <w:tcW w:type="dxa" w:w="5018"/>
            <w:shd w:fill="0B0B0B"/>
          </w:tcPr>
          <w:p>
            <w:r/>
            <w:r>
              <w:rPr>
                <w:b/>
                <w:color w:val="D4AF37"/>
                <w:sz w:val="19"/>
              </w:rPr>
              <w:t>Ticker</w:t>
            </w:r>
          </w:p>
        </w:tc>
        <w:tc>
          <w:tcPr>
            <w:tcW w:type="dxa" w:w="5018"/>
            <w:shd w:fill="202020"/>
          </w:tcPr>
          <w:p>
            <w:r/>
            <w:r>
              <w:rPr>
                <w:b w:val="0"/>
                <w:color w:val="FFFFFF"/>
                <w:sz w:val="19"/>
              </w:rPr>
              <w:t>SLX</w:t>
            </w:r>
          </w:p>
        </w:tc>
      </w:tr>
      <w:tr>
        <w:tc>
          <w:tcPr>
            <w:tcW w:type="dxa" w:w="5018"/>
            <w:shd w:fill="0B0B0B"/>
          </w:tcPr>
          <w:p>
            <w:r/>
            <w:r>
              <w:rPr>
                <w:b/>
                <w:color w:val="D4AF37"/>
                <w:sz w:val="19"/>
              </w:rPr>
              <w:t>Category</w:t>
            </w:r>
          </w:p>
        </w:tc>
        <w:tc>
          <w:tcPr>
            <w:tcW w:type="dxa" w:w="5018"/>
            <w:shd w:fill="202020"/>
          </w:tcPr>
          <w:p>
            <w:r/>
            <w:r>
              <w:rPr>
                <w:b w:val="0"/>
                <w:color w:val="FFFFFF"/>
                <w:sz w:val="19"/>
              </w:rPr>
              <w:t>AI Memecoin</w:t>
            </w:r>
          </w:p>
        </w:tc>
      </w:tr>
      <w:tr>
        <w:tc>
          <w:tcPr>
            <w:tcW w:type="dxa" w:w="5018"/>
            <w:shd w:fill="0B0B0B"/>
          </w:tcPr>
          <w:p>
            <w:r/>
            <w:r>
              <w:rPr>
                <w:b/>
                <w:color w:val="D4AF37"/>
                <w:sz w:val="19"/>
              </w:rPr>
              <w:t>Blockchain</w:t>
            </w:r>
          </w:p>
        </w:tc>
        <w:tc>
          <w:tcPr>
            <w:tcW w:type="dxa" w:w="5018"/>
            <w:shd w:fill="202020"/>
          </w:tcPr>
          <w:p>
            <w:r/>
            <w:r>
              <w:rPr>
                <w:b w:val="0"/>
                <w:color w:val="FFFFFF"/>
                <w:sz w:val="19"/>
              </w:rPr>
              <w:t>Polygon Mainnet</w:t>
            </w:r>
          </w:p>
        </w:tc>
      </w:tr>
      <w:tr>
        <w:tc>
          <w:tcPr>
            <w:tcW w:type="dxa" w:w="5018"/>
            <w:shd w:fill="0B0B0B"/>
          </w:tcPr>
          <w:p>
            <w:r/>
            <w:r>
              <w:rPr>
                <w:b/>
                <w:color w:val="D4AF37"/>
                <w:sz w:val="19"/>
              </w:rPr>
              <w:t>Token standard</w:t>
            </w:r>
          </w:p>
        </w:tc>
        <w:tc>
          <w:tcPr>
            <w:tcW w:type="dxa" w:w="5018"/>
            <w:shd w:fill="202020"/>
          </w:tcPr>
          <w:p>
            <w:r/>
            <w:r>
              <w:rPr>
                <w:b w:val="0"/>
                <w:color w:val="FFFFFF"/>
                <w:sz w:val="19"/>
              </w:rPr>
              <w:t>ERC-20</w:t>
            </w:r>
          </w:p>
        </w:tc>
      </w:tr>
      <w:tr>
        <w:tc>
          <w:tcPr>
            <w:tcW w:type="dxa" w:w="5018"/>
            <w:shd w:fill="0B0B0B"/>
          </w:tcPr>
          <w:p>
            <w:r/>
            <w:r>
              <w:rPr>
                <w:b/>
                <w:color w:val="D4AF37"/>
                <w:sz w:val="19"/>
              </w:rPr>
              <w:t>Decimals</w:t>
            </w:r>
          </w:p>
        </w:tc>
        <w:tc>
          <w:tcPr>
            <w:tcW w:type="dxa" w:w="5018"/>
            <w:shd w:fill="202020"/>
          </w:tcPr>
          <w:p>
            <w:r/>
            <w:r>
              <w:rPr>
                <w:b w:val="0"/>
                <w:color w:val="FFFFFF"/>
                <w:sz w:val="19"/>
              </w:rPr>
              <w:t>18</w:t>
            </w:r>
          </w:p>
        </w:tc>
      </w:tr>
      <w:tr>
        <w:tc>
          <w:tcPr>
            <w:tcW w:type="dxa" w:w="5018"/>
            <w:shd w:fill="0B0B0B"/>
          </w:tcPr>
          <w:p>
            <w:r/>
            <w:r>
              <w:rPr>
                <w:b/>
                <w:color w:val="D4AF37"/>
                <w:sz w:val="19"/>
              </w:rPr>
              <w:t>Total supply</w:t>
            </w:r>
          </w:p>
        </w:tc>
        <w:tc>
          <w:tcPr>
            <w:tcW w:type="dxa" w:w="5018"/>
            <w:shd w:fill="202020"/>
          </w:tcPr>
          <w:p>
            <w:r/>
            <w:r>
              <w:rPr>
                <w:b w:val="0"/>
                <w:color w:val="FFFFFF"/>
                <w:sz w:val="19"/>
              </w:rPr>
              <w:t>10,000,000,000 SLX</w:t>
            </w:r>
          </w:p>
        </w:tc>
      </w:tr>
      <w:tr>
        <w:tc>
          <w:tcPr>
            <w:tcW w:type="dxa" w:w="5018"/>
            <w:shd w:fill="0B0B0B"/>
          </w:tcPr>
          <w:p>
            <w:r/>
            <w:r>
              <w:rPr>
                <w:b/>
                <w:color w:val="D4AF37"/>
                <w:sz w:val="19"/>
              </w:rPr>
              <w:t>Contract</w:t>
            </w:r>
          </w:p>
        </w:tc>
        <w:tc>
          <w:tcPr>
            <w:tcW w:type="dxa" w:w="5018"/>
            <w:shd w:fill="202020"/>
          </w:tcPr>
          <w:p>
            <w:r/>
            <w:r>
              <w:rPr>
                <w:b w:val="0"/>
                <w:color w:val="FFFFFF"/>
                <w:sz w:val="19"/>
              </w:rPr>
              <w:t>0xcAC47b268787a280816b50e7F9b679e81B8a179e</w:t>
            </w:r>
          </w:p>
        </w:tc>
      </w:tr>
      <w:tr>
        <w:tc>
          <w:tcPr>
            <w:tcW w:type="dxa" w:w="5018"/>
            <w:shd w:fill="0B0B0B"/>
          </w:tcPr>
          <w:p>
            <w:r/>
            <w:r>
              <w:rPr>
                <w:b/>
                <w:color w:val="D4AF37"/>
                <w:sz w:val="19"/>
              </w:rPr>
              <w:t>Website</w:t>
            </w:r>
          </w:p>
        </w:tc>
        <w:tc>
          <w:tcPr>
            <w:tcW w:type="dxa" w:w="5018"/>
            <w:shd w:fill="202020"/>
          </w:tcPr>
          <w:p>
            <w:r/>
            <w:r>
              <w:rPr>
                <w:b w:val="0"/>
                <w:color w:val="FFFFFF"/>
                <w:sz w:val="19"/>
              </w:rPr>
              <w:t>https://silversurfer239.github.io/spacelonx-site/index.html</w:t>
            </w:r>
          </w:p>
        </w:tc>
      </w:tr>
      <w:tr>
        <w:tc>
          <w:tcPr>
            <w:tcW w:type="dxa" w:w="5018"/>
            <w:shd w:fill="0B0B0B"/>
          </w:tcPr>
          <w:p>
            <w:r/>
            <w:r>
              <w:rPr>
                <w:b/>
                <w:color w:val="D4AF37"/>
                <w:sz w:val="19"/>
              </w:rPr>
              <w:t>X</w:t>
            </w:r>
          </w:p>
        </w:tc>
        <w:tc>
          <w:tcPr>
            <w:tcW w:type="dxa" w:w="5018"/>
            <w:shd w:fill="202020"/>
          </w:tcPr>
          <w:p>
            <w:r/>
            <w:r>
              <w:rPr>
                <w:b w:val="0"/>
                <w:color w:val="FFFFFF"/>
                <w:sz w:val="19"/>
              </w:rPr>
              <w:t>https://x.com/spacelonxslx</w:t>
            </w:r>
          </w:p>
        </w:tc>
      </w:tr>
      <w:tr>
        <w:tc>
          <w:tcPr>
            <w:tcW w:type="dxa" w:w="5018"/>
            <w:shd w:fill="0B0B0B"/>
          </w:tcPr>
          <w:p>
            <w:r/>
            <w:r>
              <w:rPr>
                <w:b/>
                <w:color w:val="D4AF37"/>
                <w:sz w:val="19"/>
              </w:rPr>
              <w:t>Telegram</w:t>
            </w:r>
          </w:p>
        </w:tc>
        <w:tc>
          <w:tcPr>
            <w:tcW w:type="dxa" w:w="5018"/>
            <w:shd w:fill="202020"/>
          </w:tcPr>
          <w:p>
            <w:r/>
            <w:r>
              <w:rPr>
                <w:b w:val="0"/>
                <w:color w:val="FFFFFF"/>
                <w:sz w:val="19"/>
              </w:rPr>
              <w:t>https://t.me/spacelonx_community</w:t>
            </w:r>
          </w:p>
        </w:tc>
      </w:tr>
      <w:tr>
        <w:tc>
          <w:tcPr>
            <w:tcW w:type="dxa" w:w="5018"/>
            <w:shd w:fill="0B0B0B"/>
          </w:tcPr>
          <w:p>
            <w:r/>
            <w:r>
              <w:rPr>
                <w:b/>
                <w:color w:val="D4AF37"/>
                <w:sz w:val="19"/>
              </w:rPr>
              <w:t>Team</w:t>
            </w:r>
          </w:p>
        </w:tc>
        <w:tc>
          <w:tcPr>
            <w:tcW w:type="dxa" w:w="5018"/>
            <w:shd w:fill="202020"/>
          </w:tcPr>
          <w:p>
            <w:r/>
            <w:r>
              <w:rPr>
                <w:b w:val="0"/>
                <w:color w:val="FFFFFF"/>
                <w:sz w:val="19"/>
              </w:rPr>
              <w:t>Anonymous Team</w:t>
            </w:r>
          </w:p>
        </w:tc>
      </w:tr>
    </w:tbl>
    <w:p>
      <w:pPr>
        <w:spacing w:before="200" w:after="120"/>
      </w:pPr>
      <w:r>
        <w:rPr>
          <w:b/>
          <w:color w:val="D4AF37"/>
          <w:sz w:val="44"/>
        </w:rPr>
        <w:t>Vision</w:t>
      </w:r>
    </w:p>
    <w:p>
      <w:pPr>
        <w:spacing w:after="100" w:line="259" w:lineRule="auto"/>
      </w:pPr>
      <w:r>
        <w:rPr>
          <w:color w:val="232323"/>
          <w:sz w:val="21"/>
        </w:rPr>
        <w:t>Bringing AI, Community and Utility to the Memecoin Universe.</w:t>
      </w:r>
    </w:p>
    <w:p>
      <w:pPr>
        <w:spacing w:after="100" w:line="259" w:lineRule="auto"/>
      </w:pPr>
      <w:r>
        <w:rPr>
          <w:color w:val="232323"/>
          <w:sz w:val="21"/>
        </w:rPr>
        <w:t>SpacelonX is built around four core pillars: community, artificial intelligence, decentralized governance and long-term ecosystem development.</w:t>
      </w:r>
    </w:p>
    <w:p>
      <w:pPr>
        <w:spacing w:before="200" w:after="120"/>
      </w:pPr>
      <w:r>
        <w:rPr>
          <w:b/>
          <w:color w:val="D4AF37"/>
          <w:sz w:val="44"/>
        </w:rPr>
        <w:t>Why SpacelonX</w:t>
      </w:r>
    </w:p>
    <w:p>
      <w:pPr>
        <w:spacing w:after="100" w:line="259" w:lineRule="auto"/>
      </w:pPr>
      <w:r>
        <w:rPr>
          <w:color w:val="232323"/>
          <w:sz w:val="21"/>
        </w:rPr>
        <w:t>Most memecoins are driven mainly by short-term market attention. SLX introduces a more structured model where community engagement is progressively connected to utility, access rights, governance and AI-powered services.</w:t>
      </w:r>
    </w:p>
    <w:p>
      <w:pPr>
        <w:spacing w:after="100" w:line="259" w:lineRule="auto"/>
      </w:pPr>
      <w:r>
        <w:rPr>
          <w:color w:val="232323"/>
          <w:sz w:val="21"/>
        </w:rPr>
        <w:t>The objective is not to replace speculation entirely, but to support it with a more credible foundation, a visible roadmap and measurable project infrastructure.</w:t>
      </w:r>
    </w:p>
    <w:p>
      <w:pPr>
        <w:spacing w:before="200" w:after="120"/>
      </w:pPr>
      <w:r>
        <w:rPr>
          <w:b/>
          <w:color w:val="D4AF37"/>
          <w:sz w:val="44"/>
        </w:rPr>
        <w:t>Technical Overview</w:t>
      </w:r>
    </w:p>
    <w:p>
      <w:pPr>
        <w:spacing w:after="100" w:line="259" w:lineRule="auto"/>
      </w:pPr>
      <w:r>
        <w:rPr>
          <w:color w:val="232323"/>
          <w:sz w:val="21"/>
        </w:rPr>
        <w:t>SLX is deployed on Polygon Mainnet as an ERC-20 token. Polygon was selected for low transaction costs, broad EVM compatibility and accessibility for retail users.</w:t>
      </w:r>
    </w:p>
    <w:p>
      <w:pPr>
        <w:spacing w:after="100" w:line="259" w:lineRule="auto"/>
      </w:pPr>
      <w:r>
        <w:rPr>
          <w:color w:val="232323"/>
          <w:sz w:val="21"/>
        </w:rPr>
        <w:t>The SLX smart contract is verified on PolygonScan. Liquidity is deployed through QuickSwap V2 and the LP lock is presented as a core transparency element for the community.</w:t>
      </w:r>
    </w:p>
    <w:p>
      <w:r>
        <w:br w:type="page"/>
      </w:r>
    </w:p>
    <w:p>
      <w:pPr>
        <w:spacing w:before="200" w:after="120"/>
      </w:pPr>
      <w:r>
        <w:rPr>
          <w:b/>
          <w:color w:val="D4AF37"/>
          <w:sz w:val="44"/>
        </w:rPr>
        <w:t>Tokenomics</w:t>
      </w:r>
    </w:p>
    <w:p>
      <w:pPr>
        <w:jc w:val="center"/>
      </w:pPr>
      <w:r>
        <w:drawing>
          <wp:inline xmlns:a="http://schemas.openxmlformats.org/drawingml/2006/main" xmlns:pic="http://schemas.openxmlformats.org/drawingml/2006/picture">
            <wp:extent cx="5120640" cy="5038546"/>
            <wp:docPr id="3" name="Picture 3"/>
            <wp:cNvGraphicFramePr>
              <a:graphicFrameLocks noChangeAspect="1"/>
            </wp:cNvGraphicFramePr>
            <a:graphic>
              <a:graphicData uri="http://schemas.openxmlformats.org/drawingml/2006/picture">
                <pic:pic>
                  <pic:nvPicPr>
                    <pic:cNvPr id="0" name="slx_tokenomics_gold.png"/>
                    <pic:cNvPicPr/>
                  </pic:nvPicPr>
                  <pic:blipFill>
                    <a:blip r:embed="rId11"/>
                    <a:stretch>
                      <a:fillRect/>
                    </a:stretch>
                  </pic:blipFill>
                  <pic:spPr>
                    <a:xfrm>
                      <a:off x="0" y="0"/>
                      <a:ext cx="5120640" cy="5038546"/>
                    </a:xfrm>
                    <a:prstGeom prst="rect"/>
                  </pic:spPr>
                </pic:pic>
              </a:graphicData>
            </a:graphic>
          </wp:inline>
        </w:drawing>
      </w:r>
    </w:p>
    <w:tbl>
      <w:tblPr>
        <w:tblW w:type="auto" w:w="0"/>
        <w:jc w:val="center"/>
        <w:tblLook w:firstColumn="1" w:firstRow="1" w:lastColumn="0" w:lastRow="0" w:noHBand="0" w:noVBand="1" w:val="04A0"/>
      </w:tblPr>
      <w:tblGrid>
        <w:gridCol w:w="5018"/>
        <w:gridCol w:w="5018"/>
      </w:tblGrid>
      <w:tr>
        <w:tc>
          <w:tcPr>
            <w:tcW w:type="dxa" w:w="5018"/>
            <w:shd w:fill="0B0B0B"/>
          </w:tcPr>
          <w:p>
            <w:r/>
            <w:r>
              <w:rPr>
                <w:b/>
                <w:color w:val="D4AF37"/>
                <w:sz w:val="19"/>
              </w:rPr>
              <w:t>Allocation</w:t>
            </w:r>
          </w:p>
        </w:tc>
        <w:tc>
          <w:tcPr>
            <w:tcW w:type="dxa" w:w="5018"/>
            <w:shd w:fill="0B0B0B"/>
          </w:tcPr>
          <w:p>
            <w:r/>
            <w:r>
              <w:rPr>
                <w:b/>
                <w:color w:val="D4AF37"/>
                <w:sz w:val="19"/>
              </w:rPr>
              <w:t>Percentage</w:t>
            </w:r>
          </w:p>
        </w:tc>
      </w:tr>
      <w:tr>
        <w:tc>
          <w:tcPr>
            <w:tcW w:type="dxa" w:w="5018"/>
            <w:shd w:fill="202020"/>
          </w:tcPr>
          <w:p>
            <w:r/>
            <w:r>
              <w:rPr>
                <w:b w:val="0"/>
                <w:color w:val="FFFFFF"/>
                <w:sz w:val="19"/>
              </w:rPr>
              <w:t>Liquidity</w:t>
            </w:r>
          </w:p>
        </w:tc>
        <w:tc>
          <w:tcPr>
            <w:tcW w:type="dxa" w:w="5018"/>
            <w:shd w:fill="202020"/>
          </w:tcPr>
          <w:p>
            <w:r/>
            <w:r>
              <w:rPr>
                <w:b w:val="0"/>
                <w:color w:val="FFFFFF"/>
                <w:sz w:val="19"/>
              </w:rPr>
              <w:t>40%</w:t>
            </w:r>
          </w:p>
        </w:tc>
      </w:tr>
      <w:tr>
        <w:tc>
          <w:tcPr>
            <w:tcW w:type="dxa" w:w="5018"/>
            <w:shd w:fill="202020"/>
          </w:tcPr>
          <w:p>
            <w:r/>
            <w:r>
              <w:rPr>
                <w:b w:val="0"/>
                <w:color w:val="FFFFFF"/>
                <w:sz w:val="19"/>
              </w:rPr>
              <w:t>Community</w:t>
            </w:r>
          </w:p>
        </w:tc>
        <w:tc>
          <w:tcPr>
            <w:tcW w:type="dxa" w:w="5018"/>
            <w:shd w:fill="202020"/>
          </w:tcPr>
          <w:p>
            <w:r/>
            <w:r>
              <w:rPr>
                <w:b w:val="0"/>
                <w:color w:val="FFFFFF"/>
                <w:sz w:val="19"/>
              </w:rPr>
              <w:t>20%</w:t>
            </w:r>
          </w:p>
        </w:tc>
      </w:tr>
      <w:tr>
        <w:tc>
          <w:tcPr>
            <w:tcW w:type="dxa" w:w="5018"/>
            <w:shd w:fill="202020"/>
          </w:tcPr>
          <w:p>
            <w:r/>
            <w:r>
              <w:rPr>
                <w:b w:val="0"/>
                <w:color w:val="FFFFFF"/>
                <w:sz w:val="19"/>
              </w:rPr>
              <w:t>Treasury</w:t>
            </w:r>
          </w:p>
        </w:tc>
        <w:tc>
          <w:tcPr>
            <w:tcW w:type="dxa" w:w="5018"/>
            <w:shd w:fill="202020"/>
          </w:tcPr>
          <w:p>
            <w:r/>
            <w:r>
              <w:rPr>
                <w:b w:val="0"/>
                <w:color w:val="FFFFFF"/>
                <w:sz w:val="19"/>
              </w:rPr>
              <w:t>15%</w:t>
            </w:r>
          </w:p>
        </w:tc>
      </w:tr>
      <w:tr>
        <w:tc>
          <w:tcPr>
            <w:tcW w:type="dxa" w:w="5018"/>
            <w:shd w:fill="202020"/>
          </w:tcPr>
          <w:p>
            <w:r/>
            <w:r>
              <w:rPr>
                <w:b w:val="0"/>
                <w:color w:val="FFFFFF"/>
                <w:sz w:val="19"/>
              </w:rPr>
              <w:t>Team</w:t>
            </w:r>
          </w:p>
        </w:tc>
        <w:tc>
          <w:tcPr>
            <w:tcW w:type="dxa" w:w="5018"/>
            <w:shd w:fill="202020"/>
          </w:tcPr>
          <w:p>
            <w:r/>
            <w:r>
              <w:rPr>
                <w:b w:val="0"/>
                <w:color w:val="FFFFFF"/>
                <w:sz w:val="19"/>
              </w:rPr>
              <w:t>15%</w:t>
            </w:r>
          </w:p>
        </w:tc>
      </w:tr>
      <w:tr>
        <w:tc>
          <w:tcPr>
            <w:tcW w:type="dxa" w:w="5018"/>
            <w:shd w:fill="202020"/>
          </w:tcPr>
          <w:p>
            <w:r/>
            <w:r>
              <w:rPr>
                <w:b w:val="0"/>
                <w:color w:val="FFFFFF"/>
                <w:sz w:val="19"/>
              </w:rPr>
              <w:t>Ecosystem</w:t>
            </w:r>
          </w:p>
        </w:tc>
        <w:tc>
          <w:tcPr>
            <w:tcW w:type="dxa" w:w="5018"/>
            <w:shd w:fill="202020"/>
          </w:tcPr>
          <w:p>
            <w:r/>
            <w:r>
              <w:rPr>
                <w:b w:val="0"/>
                <w:color w:val="FFFFFF"/>
                <w:sz w:val="19"/>
              </w:rPr>
              <w:t>5%</w:t>
            </w:r>
          </w:p>
        </w:tc>
      </w:tr>
      <w:tr>
        <w:tc>
          <w:tcPr>
            <w:tcW w:type="dxa" w:w="5018"/>
            <w:shd w:fill="202020"/>
          </w:tcPr>
          <w:p>
            <w:r/>
            <w:r>
              <w:rPr>
                <w:b w:val="0"/>
                <w:color w:val="FFFFFF"/>
                <w:sz w:val="19"/>
              </w:rPr>
              <w:t>Advisors</w:t>
            </w:r>
          </w:p>
        </w:tc>
        <w:tc>
          <w:tcPr>
            <w:tcW w:type="dxa" w:w="5018"/>
            <w:shd w:fill="202020"/>
          </w:tcPr>
          <w:p>
            <w:r/>
            <w:r>
              <w:rPr>
                <w:b w:val="0"/>
                <w:color w:val="FFFFFF"/>
                <w:sz w:val="19"/>
              </w:rPr>
              <w:t>5%</w:t>
            </w:r>
          </w:p>
        </w:tc>
      </w:tr>
    </w:tbl>
    <w:p>
      <w:pPr>
        <w:spacing w:before="200" w:after="120"/>
      </w:pPr>
      <w:r>
        <w:rPr>
          <w:b/>
          <w:color w:val="D4AF37"/>
          <w:sz w:val="44"/>
        </w:rPr>
        <w:t>Vesting Framework</w:t>
      </w:r>
    </w:p>
    <w:p>
      <w:pPr>
        <w:spacing w:after="100" w:line="259" w:lineRule="auto"/>
      </w:pPr>
      <w:r>
        <w:rPr>
          <w:color w:val="232323"/>
          <w:sz w:val="21"/>
        </w:rPr>
        <w:t>Team and strategic allocations are presented with a progressive vesting framework designed to support long-term alignment and reduce short-term supply pressure.</w:t>
      </w:r>
    </w:p>
    <w:tbl>
      <w:tblPr>
        <w:tblW w:type="auto" w:w="0"/>
        <w:jc w:val="center"/>
        <w:tblLook w:firstColumn="1" w:firstRow="1" w:lastColumn="0" w:lastRow="0" w:noHBand="0" w:noVBand="1" w:val="04A0"/>
      </w:tblPr>
      <w:tblGrid>
        <w:gridCol w:w="5018"/>
        <w:gridCol w:w="5018"/>
      </w:tblGrid>
      <w:tr>
        <w:tc>
          <w:tcPr>
            <w:tcW w:type="dxa" w:w="5018"/>
            <w:shd w:fill="0B0B0B"/>
          </w:tcPr>
          <w:p>
            <w:r/>
            <w:r>
              <w:rPr>
                <w:b/>
                <w:color w:val="D4AF37"/>
                <w:sz w:val="19"/>
              </w:rPr>
              <w:t>Period</w:t>
            </w:r>
          </w:p>
        </w:tc>
        <w:tc>
          <w:tcPr>
            <w:tcW w:type="dxa" w:w="5018"/>
            <w:shd w:fill="0B0B0B"/>
          </w:tcPr>
          <w:p>
            <w:r/>
            <w:r>
              <w:rPr>
                <w:b/>
                <w:color w:val="D4AF37"/>
                <w:sz w:val="19"/>
              </w:rPr>
              <w:t>Unlock</w:t>
            </w:r>
          </w:p>
        </w:tc>
      </w:tr>
      <w:tr>
        <w:tc>
          <w:tcPr>
            <w:tcW w:type="dxa" w:w="5018"/>
            <w:shd w:fill="202020"/>
          </w:tcPr>
          <w:p>
            <w:r/>
            <w:r>
              <w:rPr>
                <w:b w:val="0"/>
                <w:color w:val="FFFFFF"/>
                <w:sz w:val="19"/>
              </w:rPr>
              <w:t>0-6 months</w:t>
            </w:r>
          </w:p>
        </w:tc>
        <w:tc>
          <w:tcPr>
            <w:tcW w:type="dxa" w:w="5018"/>
            <w:shd w:fill="202020"/>
          </w:tcPr>
          <w:p>
            <w:r/>
            <w:r>
              <w:rPr>
                <w:b w:val="0"/>
                <w:color w:val="FFFFFF"/>
                <w:sz w:val="19"/>
              </w:rPr>
              <w:t>0%</w:t>
            </w:r>
          </w:p>
        </w:tc>
      </w:tr>
      <w:tr>
        <w:tc>
          <w:tcPr>
            <w:tcW w:type="dxa" w:w="5018"/>
            <w:shd w:fill="202020"/>
          </w:tcPr>
          <w:p>
            <w:r/>
            <w:r>
              <w:rPr>
                <w:b w:val="0"/>
                <w:color w:val="FFFFFF"/>
                <w:sz w:val="19"/>
              </w:rPr>
              <w:t>6-12 months</w:t>
            </w:r>
          </w:p>
        </w:tc>
        <w:tc>
          <w:tcPr>
            <w:tcW w:type="dxa" w:w="5018"/>
            <w:shd w:fill="202020"/>
          </w:tcPr>
          <w:p>
            <w:r/>
            <w:r>
              <w:rPr>
                <w:b w:val="0"/>
                <w:color w:val="FFFFFF"/>
                <w:sz w:val="19"/>
              </w:rPr>
              <w:t>25%</w:t>
            </w:r>
          </w:p>
        </w:tc>
      </w:tr>
      <w:tr>
        <w:tc>
          <w:tcPr>
            <w:tcW w:type="dxa" w:w="5018"/>
            <w:shd w:fill="202020"/>
          </w:tcPr>
          <w:p>
            <w:r/>
            <w:r>
              <w:rPr>
                <w:b w:val="0"/>
                <w:color w:val="FFFFFF"/>
                <w:sz w:val="19"/>
              </w:rPr>
              <w:t>12-18 months</w:t>
            </w:r>
          </w:p>
        </w:tc>
        <w:tc>
          <w:tcPr>
            <w:tcW w:type="dxa" w:w="5018"/>
            <w:shd w:fill="202020"/>
          </w:tcPr>
          <w:p>
            <w:r/>
            <w:r>
              <w:rPr>
                <w:b w:val="0"/>
                <w:color w:val="FFFFFF"/>
                <w:sz w:val="19"/>
              </w:rPr>
              <w:t>50%</w:t>
            </w:r>
          </w:p>
        </w:tc>
      </w:tr>
      <w:tr>
        <w:tc>
          <w:tcPr>
            <w:tcW w:type="dxa" w:w="5018"/>
            <w:shd w:fill="202020"/>
          </w:tcPr>
          <w:p>
            <w:r/>
            <w:r>
              <w:rPr>
                <w:b w:val="0"/>
                <w:color w:val="FFFFFF"/>
                <w:sz w:val="19"/>
              </w:rPr>
              <w:t>18-24 months</w:t>
            </w:r>
          </w:p>
        </w:tc>
        <w:tc>
          <w:tcPr>
            <w:tcW w:type="dxa" w:w="5018"/>
            <w:shd w:fill="202020"/>
          </w:tcPr>
          <w:p>
            <w:r/>
            <w:r>
              <w:rPr>
                <w:b w:val="0"/>
                <w:color w:val="FFFFFF"/>
                <w:sz w:val="19"/>
              </w:rPr>
              <w:t>75%</w:t>
            </w:r>
          </w:p>
        </w:tc>
      </w:tr>
      <w:tr>
        <w:tc>
          <w:tcPr>
            <w:tcW w:type="dxa" w:w="5018"/>
            <w:shd w:fill="202020"/>
          </w:tcPr>
          <w:p>
            <w:r/>
            <w:r>
              <w:rPr>
                <w:b w:val="0"/>
                <w:color w:val="FFFFFF"/>
                <w:sz w:val="19"/>
              </w:rPr>
              <w:t>24+ months</w:t>
            </w:r>
          </w:p>
        </w:tc>
        <w:tc>
          <w:tcPr>
            <w:tcW w:type="dxa" w:w="5018"/>
            <w:shd w:fill="202020"/>
          </w:tcPr>
          <w:p>
            <w:r/>
            <w:r>
              <w:rPr>
                <w:b w:val="0"/>
                <w:color w:val="FFFFFF"/>
                <w:sz w:val="19"/>
              </w:rPr>
              <w:t>100%</w:t>
            </w:r>
          </w:p>
        </w:tc>
      </w:tr>
    </w:tbl>
    <w:p>
      <w:pPr>
        <w:spacing w:before="200" w:after="120"/>
      </w:pPr>
      <w:r>
        <w:rPr>
          <w:b/>
          <w:color w:val="D4AF37"/>
          <w:sz w:val="44"/>
        </w:rPr>
        <w:t>SLX Utility Ecosystem</w:t>
      </w:r>
    </w:p>
    <w:p>
      <w:pPr>
        <w:jc w:val="center"/>
      </w:pPr>
      <w:r>
        <w:drawing>
          <wp:inline xmlns:a="http://schemas.openxmlformats.org/drawingml/2006/main" xmlns:pic="http://schemas.openxmlformats.org/drawingml/2006/picture">
            <wp:extent cx="5852160" cy="3511296"/>
            <wp:docPr id="4" name="Picture 4"/>
            <wp:cNvGraphicFramePr>
              <a:graphicFrameLocks noChangeAspect="1"/>
            </wp:cNvGraphicFramePr>
            <a:graphic>
              <a:graphicData uri="http://schemas.openxmlformats.org/drawingml/2006/picture">
                <pic:pic>
                  <pic:nvPicPr>
                    <pic:cNvPr id="0" name="slx_ecosystem_gold.png"/>
                    <pic:cNvPicPr/>
                  </pic:nvPicPr>
                  <pic:blipFill>
                    <a:blip r:embed="rId12"/>
                    <a:stretch>
                      <a:fillRect/>
                    </a:stretch>
                  </pic:blipFill>
                  <pic:spPr>
                    <a:xfrm>
                      <a:off x="0" y="0"/>
                      <a:ext cx="5852160" cy="3511296"/>
                    </a:xfrm>
                    <a:prstGeom prst="rect"/>
                  </pic:spPr>
                </pic:pic>
              </a:graphicData>
            </a:graphic>
          </wp:inline>
        </w:drawing>
      </w:r>
    </w:p>
    <w:p>
      <w:pPr>
        <w:spacing w:before="200" w:after="120"/>
      </w:pPr>
      <w:r>
        <w:rPr>
          <w:b/>
          <w:color w:val="D4AF37"/>
          <w:sz w:val="44"/>
        </w:rPr>
        <w:t>Nenette AI</w:t>
      </w:r>
    </w:p>
    <w:p>
      <w:pPr>
        <w:spacing w:after="100" w:line="259" w:lineRule="auto"/>
      </w:pPr>
      <w:r>
        <w:rPr>
          <w:color w:val="232323"/>
          <w:sz w:val="21"/>
        </w:rPr>
        <w:t>Nenette AI is the planned assistant layer for SLX holders. Its purpose is to support portfolio monitoring, market alerts, DAO notifications, project updates and future integrations with the broader YDEC ecosystem.</w:t>
      </w:r>
    </w:p>
    <w:p>
      <w:pPr>
        <w:spacing w:after="100" w:line="259" w:lineRule="auto"/>
      </w:pPr>
      <w:r>
        <w:rPr>
          <w:color w:val="232323"/>
          <w:sz w:val="21"/>
        </w:rPr>
        <w:t>Advanced features may be reserved for holders or stakers depending on token balance, staking tier or DAO decisions.</w:t>
      </w:r>
    </w:p>
    <w:p>
      <w:pPr>
        <w:spacing w:before="200" w:after="120"/>
      </w:pPr>
      <w:r>
        <w:rPr>
          <w:b/>
          <w:color w:val="D4AF37"/>
          <w:sz w:val="44"/>
        </w:rPr>
        <w:t>Premium Holder Services</w:t>
      </w:r>
    </w:p>
    <w:p>
      <w:pPr>
        <w:spacing w:after="100" w:line="259" w:lineRule="auto"/>
      </w:pPr>
      <w:r>
        <w:rPr>
          <w:color w:val="232323"/>
          <w:sz w:val="21"/>
        </w:rPr>
        <w:t>Premium access may include early feature access, AI assistant tools, community badges, DAO participation rights and possible future airdrops.</w:t>
      </w:r>
    </w:p>
    <w:p>
      <w:pPr>
        <w:spacing w:after="100" w:line="259" w:lineRule="auto"/>
      </w:pPr>
      <w:r>
        <w:rPr>
          <w:color w:val="232323"/>
          <w:sz w:val="21"/>
        </w:rPr>
        <w:t>Indicative tiers: Starter - 100,000 SLX; Premium - 500,000 SLX; VIP - 1,000,000 SLX.</w:t>
      </w:r>
    </w:p>
    <w:p>
      <w:pPr>
        <w:spacing w:before="200" w:after="120"/>
      </w:pPr>
      <w:r>
        <w:rPr>
          <w:b/>
          <w:color w:val="D4AF37"/>
          <w:sz w:val="44"/>
        </w:rPr>
        <w:t>Staking Model</w:t>
      </w:r>
    </w:p>
    <w:p>
      <w:pPr>
        <w:spacing w:after="100" w:line="259" w:lineRule="auto"/>
      </w:pPr>
      <w:r>
        <w:rPr>
          <w:color w:val="232323"/>
          <w:sz w:val="21"/>
        </w:rPr>
        <w:t>The staking model is designed as a long-term community retention mechanism. The following APRs are indicative and may be adjusted before smart contract deployment or DAO validation.</w:t>
      </w:r>
    </w:p>
    <w:p>
      <w:pPr>
        <w:spacing w:after="100" w:line="259" w:lineRule="auto"/>
      </w:pPr>
      <w:r>
        <w:rPr>
          <w:color w:val="232323"/>
          <w:sz w:val="21"/>
        </w:rPr>
        <w:t>30 days: 5% APR; 90 days: 12% APR; 180 days: 20% APR; 365 days: 35% APR.</w:t>
      </w:r>
    </w:p>
    <w:p>
      <w:pPr>
        <w:spacing w:before="200" w:after="120"/>
      </w:pPr>
      <w:r>
        <w:rPr>
          <w:b/>
          <w:color w:val="D4AF37"/>
          <w:sz w:val="44"/>
        </w:rPr>
        <w:t>DAO Governance</w:t>
      </w:r>
    </w:p>
    <w:p>
      <w:pPr>
        <w:spacing w:after="100" w:line="259" w:lineRule="auto"/>
      </w:pPr>
      <w:r>
        <w:rPr>
          <w:color w:val="232323"/>
          <w:sz w:val="21"/>
        </w:rPr>
        <w:t>The DAO is intended to enable community participation in key project decisions. Potential voting topics include token burns, marketing budget, exchange listings, partnership priorities, treasury allocation and ecosystem development.</w:t>
      </w:r>
    </w:p>
    <w:p>
      <w:pPr>
        <w:spacing w:before="200" w:after="120"/>
      </w:pPr>
      <w:r>
        <w:rPr>
          <w:b/>
          <w:color w:val="D4AF37"/>
          <w:sz w:val="44"/>
        </w:rPr>
        <w:t>Roadmap 2026-2030</w:t>
      </w:r>
    </w:p>
    <w:p>
      <w:pPr>
        <w:jc w:val="center"/>
      </w:pPr>
      <w:r>
        <w:drawing>
          <wp:inline xmlns:a="http://schemas.openxmlformats.org/drawingml/2006/main" xmlns:pic="http://schemas.openxmlformats.org/drawingml/2006/picture">
            <wp:extent cx="6217920" cy="2487168"/>
            <wp:docPr id="5" name="Picture 5"/>
            <wp:cNvGraphicFramePr>
              <a:graphicFrameLocks noChangeAspect="1"/>
            </wp:cNvGraphicFramePr>
            <a:graphic>
              <a:graphicData uri="http://schemas.openxmlformats.org/drawingml/2006/picture">
                <pic:pic>
                  <pic:nvPicPr>
                    <pic:cNvPr id="0" name="slx_roadmap_gold.png"/>
                    <pic:cNvPicPr/>
                  </pic:nvPicPr>
                  <pic:blipFill>
                    <a:blip r:embed="rId13"/>
                    <a:stretch>
                      <a:fillRect/>
                    </a:stretch>
                  </pic:blipFill>
                  <pic:spPr>
                    <a:xfrm>
                      <a:off x="0" y="0"/>
                      <a:ext cx="6217920" cy="2487168"/>
                    </a:xfrm>
                    <a:prstGeom prst="rect"/>
                  </pic:spPr>
                </pic:pic>
              </a:graphicData>
            </a:graphic>
          </wp:inline>
        </w:drawing>
      </w:r>
    </w:p>
    <w:p>
      <w:pPr>
        <w:spacing w:before="200" w:after="120"/>
      </w:pPr>
      <w:r>
        <w:rPr>
          <w:b/>
          <w:color w:val="D4AF37"/>
          <w:sz w:val="44"/>
        </w:rPr>
        <w:t>CoinGecko Readiness</w:t>
      </w:r>
    </w:p>
    <w:p>
      <w:pPr>
        <w:spacing w:after="100" w:line="259" w:lineRule="auto"/>
      </w:pPr>
      <w:r>
        <w:rPr>
          <w:color w:val="232323"/>
          <w:sz w:val="21"/>
        </w:rPr>
        <w:t>The listing package should be supported by consistent public activity, a public GitHub repository, stable trading history, active social channels and a finalized whitepaper.</w:t>
      </w:r>
    </w:p>
    <w:p>
      <w:pPr>
        <w:spacing w:after="100" w:line="259" w:lineRule="auto"/>
      </w:pPr>
      <w:r>
        <w:rPr>
          <w:color w:val="232323"/>
          <w:sz w:val="21"/>
        </w:rPr>
        <w:t>Recommended targets before resubmission: 500+ X followers, 300+ Telegram members, 500+ transactions, regular trading volume and weekly project updates.</w:t>
      </w:r>
    </w:p>
    <w:p>
      <w:pPr>
        <w:spacing w:before="200" w:after="120"/>
      </w:pPr>
      <w:r>
        <w:rPr>
          <w:b/>
          <w:color w:val="D4AF37"/>
          <w:sz w:val="44"/>
        </w:rPr>
        <w:t>Risk Disclosure</w:t>
      </w:r>
    </w:p>
    <w:p>
      <w:pPr>
        <w:spacing w:after="100" w:line="259" w:lineRule="auto"/>
      </w:pPr>
      <w:r>
        <w:rPr>
          <w:color w:val="232323"/>
          <w:sz w:val="21"/>
        </w:rPr>
        <w:t>SpacelonX is an experimental digital asset project. Cryptocurrencies are volatile and may involve substantial risk of loss. This document is for information only and does not constitute financial, legal, tax or investment advice.</w:t>
      </w:r>
    </w:p>
    <w:p>
      <w:pPr>
        <w:spacing w:after="100" w:line="259" w:lineRule="auto"/>
      </w:pPr>
      <w:r>
        <w:rPr>
          <w:color w:val="232323"/>
          <w:sz w:val="21"/>
        </w:rPr>
        <w:t>Users should conduct their own research before interacting with SLX or any related decentralized finance service.</w:t>
      </w:r>
    </w:p>
    <w:p>
      <w:pPr>
        <w:spacing w:before="200" w:after="120"/>
      </w:pPr>
      <w:r>
        <w:rPr>
          <w:b/>
          <w:color w:val="D4AF37"/>
          <w:sz w:val="44"/>
        </w:rPr>
        <w:t>Conclusion</w:t>
      </w:r>
    </w:p>
    <w:p>
      <w:pPr>
        <w:spacing w:after="100" w:line="259" w:lineRule="auto"/>
      </w:pPr>
      <w:r>
        <w:rPr>
          <w:color w:val="232323"/>
          <w:sz w:val="21"/>
        </w:rPr>
        <w:t>SpacelonX aims to become more than a memecoin by combining community energy, AI-driven services, decentralized governance and a progressive utility layer across the YDEC ecosystem.</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