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4" w:space="6"/>
        </w:pBdr>
        <w:spacing w:after="320"/>
      </w:pPr>
      <w:r>
        <w:rPr>
          <w:rFonts w:ascii="Montserrat" w:cs="Montserrat" w:eastAsia="Montserrat" w:hAnsi="Montserrat"/>
          <w:b/>
          <w:bCs/>
          <w:color w:val="000000"/>
          <w:spacing w:val="20"/>
          <w:sz w:val="15"/>
          <w:szCs w:val="15"/>
        </w:rPr>
        <w:t xml:space="preserve">PLANTILLA · FUNDAMENTOS</w:t>
      </w:r>
    </w:p>
    <w:p>
      <w:pPr>
        <w:spacing w:after="140"/>
      </w:pPr>
      <w:r>
        <w:rPr>
          <w:rFonts w:ascii="Montserrat" w:cs="Montserrat" w:eastAsia="Montserrat" w:hAnsi="Montserrat"/>
          <w:b/>
          <w:bCs/>
          <w:color w:val="000000"/>
          <w:spacing w:val="-10"/>
          <w:sz w:val="40"/>
          <w:szCs w:val="40"/>
        </w:rPr>
        <w:t xml:space="preserve">OKR de ejemplo: proyecto Muévete</w:t>
      </w:r>
    </w:p>
    <w:p>
      <w:pPr>
        <w:spacing w:after="360"/>
      </w:pPr>
      <w:r>
        <w:rPr>
          <w:rFonts w:ascii="Montserrat" w:cs="Montserrat" w:eastAsia="Montserrat" w:hAnsi="Montserrat"/>
          <w:i/>
          <w:iCs/>
          <w:color w:val="666666"/>
          <w:sz w:val="19"/>
          <w:szCs w:val="19"/>
        </w:rPr>
        <w:t xml:space="preserve">Un caso de referencia para ver cómo se redactan objetivos (O) y resultados clave (KR) medibles.</w:t>
      </w:r>
    </w:p>
    <w:p>
      <w:pPr>
        <w:pBdr>
          <w:top w:val="single" w:color="000000" w:sz="2" w:space="6"/>
        </w:pBdr>
        <w:spacing w:after="140" w:before="320"/>
      </w:pPr>
      <w:r>
        <w:rPr>
          <w:rFonts w:ascii="Montserrat" w:cs="Montserrat" w:eastAsia="Montserrat" w:hAnsi="Montserrat"/>
          <w:b/>
          <w:bCs/>
          <w:color w:val="000000"/>
          <w:spacing w:val="-8"/>
          <w:sz w:val="21"/>
          <w:szCs w:val="21"/>
        </w:rPr>
        <w:t xml:space="preserve">O1 · Involucrar de forma activa y significativa a la ciudadanía para generar apoyo y respaldo al proyecto.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ontserrat" w:cs="Montserrat" w:eastAsia="Montserrat" w:hAnsi="Montserrat"/>
          <w:b w:val="false"/>
          <w:bCs w:val="false"/>
          <w:color w:val="000000"/>
          <w:sz w:val="20"/>
          <w:szCs w:val="20"/>
        </w:rPr>
        <w:t xml:space="preserve">KR1: 400 asistentes a 12 reuniones públicas centradas en movilidad.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ontserrat" w:cs="Montserrat" w:eastAsia="Montserrat" w:hAnsi="Montserrat"/>
          <w:b w:val="false"/>
          <w:bCs w:val="false"/>
          <w:color w:val="000000"/>
          <w:sz w:val="20"/>
          <w:szCs w:val="20"/>
        </w:rPr>
        <w:t xml:space="preserve">KR2: Encuestar al 75% de los residentes de Wonder City antes del lanzamiento.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ontserrat" w:cs="Montserrat" w:eastAsia="Montserrat" w:hAnsi="Montserrat"/>
          <w:b w:val="false"/>
          <w:bCs w:val="false"/>
          <w:color w:val="000000"/>
          <w:sz w:val="20"/>
          <w:szCs w:val="20"/>
        </w:rPr>
        <w:t xml:space="preserve">KR3: Lograr que el 70% de los líderes comunitarios participen en el programa de acercamiento a la comunidad.</w:t>
      </w:r>
    </w:p>
    <w:p>
      <w:pPr>
        <w:pBdr>
          <w:top w:val="single" w:color="000000" w:sz="2" w:space="6"/>
        </w:pBdr>
        <w:spacing w:after="140" w:before="320"/>
      </w:pPr>
      <w:r>
        <w:rPr>
          <w:rFonts w:ascii="Montserrat" w:cs="Montserrat" w:eastAsia="Montserrat" w:hAnsi="Montserrat"/>
          <w:b/>
          <w:bCs/>
          <w:color w:val="000000"/>
          <w:spacing w:val="-8"/>
          <w:sz w:val="21"/>
          <w:szCs w:val="21"/>
        </w:rPr>
        <w:t xml:space="preserve">O2 · Facilitar los desplazamientos por el área metropolitana de Wonder City mediante transporte público.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ontserrat" w:cs="Montserrat" w:eastAsia="Montserrat" w:hAnsi="Montserrat"/>
          <w:b w:val="false"/>
          <w:bCs w:val="false"/>
          <w:color w:val="000000"/>
          <w:sz w:val="20"/>
          <w:szCs w:val="20"/>
        </w:rPr>
        <w:t xml:space="preserve">KR1: Los autobuses de las nuevas líneas pasan cada diez minutos en horas punta.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ontserrat" w:cs="Montserrat" w:eastAsia="Montserrat" w:hAnsi="Montserrat"/>
          <w:b w:val="false"/>
          <w:bCs w:val="false"/>
          <w:color w:val="000000"/>
          <w:sz w:val="20"/>
          <w:szCs w:val="20"/>
        </w:rPr>
        <w:t xml:space="preserve">KR2: Las zonas más densamente pobladas de Wonder City (1.500-2.000 personas por milla cuadrada) cuentan con tres paradas de autobús cada diez manzanas.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ontserrat" w:cs="Montserrat" w:eastAsia="Montserrat" w:hAnsi="Montserrat"/>
          <w:b w:val="false"/>
          <w:bCs w:val="false"/>
          <w:color w:val="000000"/>
          <w:sz w:val="20"/>
          <w:szCs w:val="20"/>
        </w:rPr>
        <w:t xml:space="preserve">KR3: El número de nuevos usuarios aumenta un 25% en tres meses.</w:t>
      </w:r>
    </w:p>
    <w:p>
      <w:pPr>
        <w:pBdr>
          <w:top w:val="single" w:color="000000" w:sz="2" w:space="6"/>
        </w:pBdr>
        <w:spacing w:after="140" w:before="320"/>
      </w:pPr>
      <w:r>
        <w:rPr>
          <w:rFonts w:ascii="Montserrat" w:cs="Montserrat" w:eastAsia="Montserrat" w:hAnsi="Montserrat"/>
          <w:b/>
          <w:bCs/>
          <w:color w:val="000000"/>
          <w:spacing w:val="-8"/>
          <w:sz w:val="21"/>
          <w:szCs w:val="21"/>
        </w:rPr>
        <w:t xml:space="preserve">O3 · Promover el transporte público como alternativa cómoda a conducir.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ontserrat" w:cs="Montserrat" w:eastAsia="Montserrat" w:hAnsi="Montserrat"/>
          <w:b w:val="false"/>
          <w:bCs w:val="false"/>
          <w:color w:val="000000"/>
          <w:sz w:val="20"/>
          <w:szCs w:val="20"/>
        </w:rPr>
        <w:t xml:space="preserve">KR1: 6.000 visitantes únicos al mes en el portal online de la WCTA.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ontserrat" w:cs="Montserrat" w:eastAsia="Montserrat" w:hAnsi="Montserrat"/>
          <w:b w:val="false"/>
          <w:bCs w:val="false"/>
          <w:color w:val="000000"/>
          <w:sz w:val="20"/>
          <w:szCs w:val="20"/>
        </w:rPr>
        <w:t xml:space="preserve">KR2: 80% de tasa de clics en los banners publicitarios de redes sociales.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ontserrat" w:cs="Montserrat" w:eastAsia="Montserrat" w:hAnsi="Montserrat"/>
          <w:b w:val="false"/>
          <w:bCs w:val="false"/>
          <w:color w:val="000000"/>
          <w:sz w:val="20"/>
          <w:szCs w:val="20"/>
        </w:rPr>
        <w:t xml:space="preserve">KR3: 15 artículos de prensa publicados en medios impresos y digitales relevantes.</w:t>
      </w:r>
    </w:p>
    <w:p>
      <w:pPr>
        <w:pBdr>
          <w:top w:val="single" w:color="000000" w:sz="2" w:space="6"/>
        </w:pBdr>
        <w:spacing w:after="140" w:before="320"/>
      </w:pPr>
      <w:r>
        <w:rPr>
          <w:rFonts w:ascii="Montserrat" w:cs="Montserrat" w:eastAsia="Montserrat" w:hAnsi="Montserrat"/>
          <w:b/>
          <w:bCs/>
          <w:color w:val="000000"/>
          <w:spacing w:val="-8"/>
          <w:sz w:val="21"/>
          <w:szCs w:val="21"/>
        </w:rPr>
        <w:t xml:space="preserve">O4 · Ofrecer un servicio de transporte público fiable y constante.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ontserrat" w:cs="Montserrat" w:eastAsia="Montserrat" w:hAnsi="Montserrat"/>
          <w:b w:val="false"/>
          <w:bCs w:val="false"/>
          <w:color w:val="000000"/>
          <w:sz w:val="20"/>
          <w:szCs w:val="20"/>
        </w:rPr>
        <w:t xml:space="preserve">KR1: El 100% de los autobuses nuevos cumple los estándares de seguridad gubernamentales en las inspecciones mensuales.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ontserrat" w:cs="Montserrat" w:eastAsia="Montserrat" w:hAnsi="Montserrat"/>
          <w:b w:val="false"/>
          <w:bCs w:val="false"/>
          <w:color w:val="000000"/>
          <w:sz w:val="20"/>
          <w:szCs w:val="20"/>
        </w:rPr>
        <w:t xml:space="preserve">KR2: El 95% de la nueva flota está operativa en todo momento.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ontserrat" w:cs="Montserrat" w:eastAsia="Montserrat" w:hAnsi="Montserrat"/>
          <w:b w:val="false"/>
          <w:bCs w:val="false"/>
          <w:color w:val="000000"/>
          <w:sz w:val="20"/>
          <w:szCs w:val="20"/>
        </w:rPr>
        <w:t xml:space="preserve">KR3: Los tiempos de espera se reducen un 20% en los dos meses posteriores al lanzamiento.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60"/>
      </w:pPr>
      <w:rPr>
        <w:color w:val="0000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2026-09-08T18:56:21.314Z</dcterms:created>
  <dcterms:modified xsi:type="dcterms:W3CDTF">2026-09-08T18:56:21.332Z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