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https://baic.eus/es/casos-de-uso-ia-euskadi/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https://bindplatform.com/es/startup-sme/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https://sm-services.es/</w:t>
        </w:r>
      </w:hyperlink>
      <w:r w:rsidDel="00000000" w:rsidR="00000000" w:rsidRPr="00000000">
        <w:rPr>
          <w:rtl w:val="0"/>
        </w:rPr>
        <w:t xml:space="preserve"> - Correo: ramon.rodilla@sm-services.es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https://www.hoopcarpool.com/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Data Valuement</w:t>
        </w:r>
      </w:hyperlink>
      <w:r w:rsidDel="00000000" w:rsidR="00000000" w:rsidRPr="00000000">
        <w:rPr>
          <w:rtl w:val="0"/>
        </w:rPr>
        <w:t xml:space="preserve">- Presentación de un proyecto relacionado con laproducción de Champiñones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www.youtube.com/watch?v=Im6L2NtJZF8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hoopcarpool.com/" TargetMode="Externa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baic.eus/es/casos-de-uso-ia-euskadi/" TargetMode="External"/><Relationship Id="rId7" Type="http://schemas.openxmlformats.org/officeDocument/2006/relationships/hyperlink" Target="https://bindplatform.com/es/startup-sme/" TargetMode="External"/><Relationship Id="rId8" Type="http://schemas.openxmlformats.org/officeDocument/2006/relationships/hyperlink" Target="https://sm-services.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